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DD" w:rsidRDefault="00B06DDD" w:rsidP="00B06DDD">
      <w:pPr>
        <w:rPr>
          <w:rFonts w:ascii="Aptos" w:eastAsia="Times New Roman" w:hAnsi="Aptos"/>
          <w:color w:val="000000"/>
        </w:rPr>
      </w:pPr>
      <w:bookmarkStart w:id="0" w:name="_GoBack"/>
      <w:bookmarkEnd w:id="0"/>
      <w:r>
        <w:rPr>
          <w:rFonts w:ascii="Aptos" w:eastAsia="Times New Roman" w:hAnsi="Aptos"/>
          <w:color w:val="000000"/>
        </w:rPr>
        <w:t xml:space="preserve">"Reason to Believe" applies in respect to a CBSA penalty when the Canada Border Services Agency (CBSA) determines that an importer had sufficient information to recognize that their customs declaration or documentation contained an error, omission, or non-compliance issue but failed to take corrective action. This concept is integral to CBSA’s enforcement of compliance and is often linked to the penalties outlined under the </w:t>
      </w:r>
      <w:r>
        <w:rPr>
          <w:rFonts w:ascii="Aptos" w:eastAsia="Times New Roman" w:hAnsi="Aptos"/>
          <w:b/>
          <w:bCs/>
          <w:color w:val="000000"/>
        </w:rPr>
        <w:t>Administrative Monetary Penalty System (AMPS)</w:t>
      </w:r>
      <w:r>
        <w:rPr>
          <w:rFonts w:ascii="Aptos" w:eastAsia="Times New Roman" w:hAnsi="Aptos"/>
          <w:color w:val="000000"/>
        </w:rPr>
        <w:t>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br/>
        <w:t>Key situations where "Reason to Believe" may apply include:</w:t>
      </w:r>
    </w:p>
    <w:p w:rsidR="00B06DDD" w:rsidRDefault="00B06DDD" w:rsidP="00B06DDD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Documentation Received by the Importer</w:t>
      </w:r>
      <w:r>
        <w:rPr>
          <w:rFonts w:ascii="Aptos" w:eastAsia="Times New Roman" w:hAnsi="Aptos"/>
          <w:color w:val="000000"/>
        </w:rPr>
        <w:t>: If an importer has received documentation (such as supplier invoices, origin certificates, or tariff classification rulings) that indicates discrepancies, the importer is deemed to have a "Reason to Believe" that corrections are needed.</w:t>
      </w:r>
    </w:p>
    <w:p w:rsidR="00B06DDD" w:rsidRDefault="00B06DDD" w:rsidP="00B06DDD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Trade Advisories or Regulatory Updates</w:t>
      </w:r>
      <w:r>
        <w:rPr>
          <w:rFonts w:ascii="Aptos" w:eastAsia="Times New Roman" w:hAnsi="Aptos"/>
          <w:color w:val="000000"/>
        </w:rPr>
        <w:t>: When CBSA issues notices, guidance, or policy changes that directly impact an importer’s operations, the importer is expected to review and align their practices accordingly.</w:t>
      </w:r>
    </w:p>
    <w:p w:rsidR="00B06DDD" w:rsidRDefault="00B06DDD" w:rsidP="00B06DDD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Customs Decisions or Audits</w:t>
      </w:r>
      <w:r>
        <w:rPr>
          <w:rFonts w:ascii="Aptos" w:eastAsia="Times New Roman" w:hAnsi="Aptos"/>
          <w:color w:val="000000"/>
        </w:rPr>
        <w:t>: If an importer has undergone a CBSA audit or received a decision or ruling that identifies an error, they are obligated to correct similar issues for other transactions.</w:t>
      </w:r>
    </w:p>
    <w:p w:rsidR="00B06DDD" w:rsidRDefault="00B06DDD" w:rsidP="00B06DDD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Accessible Industry Standards</w:t>
      </w:r>
      <w:r>
        <w:rPr>
          <w:rFonts w:ascii="Aptos" w:eastAsia="Times New Roman" w:hAnsi="Aptos"/>
          <w:color w:val="000000"/>
        </w:rPr>
        <w:t>: Importers are expected to be aware of common industry practices and public information related to tariff classifications, valuation, and origin. Lack of awareness does not absolve them of compliance responsibility.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Failure to act on a "Reason to Believe" within the specified </w:t>
      </w:r>
      <w:r>
        <w:rPr>
          <w:rFonts w:ascii="Aptos" w:eastAsia="Times New Roman" w:hAnsi="Aptos"/>
          <w:b/>
          <w:bCs/>
          <w:color w:val="000000"/>
        </w:rPr>
        <w:t>90-day self-correction window</w:t>
      </w:r>
      <w:r>
        <w:rPr>
          <w:rFonts w:ascii="Aptos" w:eastAsia="Times New Roman" w:hAnsi="Aptos"/>
          <w:color w:val="000000"/>
        </w:rPr>
        <w:t> under Section 32.2 of the Customs Act can result in monetary penalties. The penalties will depend on the type and severity of the non-compliance and whether it is a repeated offense.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br/>
      </w:r>
      <w:r>
        <w:rPr>
          <w:rFonts w:ascii="Aptos" w:eastAsia="Times New Roman" w:hAnsi="Aptos"/>
          <w:b/>
          <w:bCs/>
          <w:color w:val="000000"/>
        </w:rPr>
        <w:t>1. Conduct Regular Internal Audits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Perform periodic reviews of your customs documentation, including:</w:t>
      </w:r>
    </w:p>
    <w:p w:rsidR="00B06DDD" w:rsidRDefault="00B06DDD" w:rsidP="00B06DDD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Tariff Classification</w:t>
      </w:r>
      <w:r>
        <w:rPr>
          <w:rFonts w:ascii="Aptos" w:eastAsia="Times New Roman" w:hAnsi="Aptos"/>
          <w:color w:val="000000"/>
        </w:rPr>
        <w:t>: Verify the accuracy of classifications for your products.</w:t>
      </w:r>
    </w:p>
    <w:p w:rsidR="00B06DDD" w:rsidRDefault="00B06DDD" w:rsidP="00B06DDD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Valuation</w:t>
      </w:r>
      <w:r>
        <w:rPr>
          <w:rFonts w:ascii="Aptos" w:eastAsia="Times New Roman" w:hAnsi="Aptos"/>
          <w:color w:val="000000"/>
        </w:rPr>
        <w:t>: Ensure proper declaration of transaction value, including adjustments for freight, insurance, and additional costs.</w:t>
      </w:r>
    </w:p>
    <w:p w:rsidR="00B06DDD" w:rsidRPr="00B06DDD" w:rsidRDefault="00B06DDD" w:rsidP="00B06DDD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Origin Declarations</w:t>
      </w:r>
      <w:r>
        <w:rPr>
          <w:rFonts w:ascii="Aptos" w:eastAsia="Times New Roman" w:hAnsi="Aptos"/>
          <w:color w:val="000000"/>
        </w:rPr>
        <w:t>: Confirm the accuracy and validity of certificates of origin, especially for trade agreements like CUSMA.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2. Stay Informed on Regulatory Changes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CBSA frequently updates its policies and guidelines. </w:t>
      </w:r>
    </w:p>
    <w:p w:rsidR="00B06DDD" w:rsidRPr="00B06DDD" w:rsidRDefault="00B06DDD" w:rsidP="00B06DDD">
      <w:pPr>
        <w:pStyle w:val="ListParagraph"/>
        <w:numPr>
          <w:ilvl w:val="0"/>
          <w:numId w:val="15"/>
        </w:numPr>
        <w:rPr>
          <w:rFonts w:ascii="Aptos" w:eastAsia="Times New Roman" w:hAnsi="Aptos"/>
          <w:color w:val="000000"/>
        </w:rPr>
      </w:pPr>
      <w:r w:rsidRPr="00B06DDD">
        <w:rPr>
          <w:rFonts w:ascii="Aptos" w:eastAsia="Times New Roman" w:hAnsi="Aptos"/>
          <w:color w:val="000000"/>
        </w:rPr>
        <w:t>Awareness of changes to tariff schedules, origin rules, and valuation standards minimizes the risk of non-compliance.</w:t>
      </w:r>
    </w:p>
    <w:p w:rsidR="00B06DDD" w:rsidRDefault="00B06DDD" w:rsidP="00B06DDD">
      <w:pPr>
        <w:jc w:val="center"/>
        <w:rPr>
          <w:rFonts w:eastAsia="Times New Roman"/>
        </w:rPr>
      </w:pP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3. Establish a Compliance Framework</w:t>
      </w:r>
    </w:p>
    <w:p w:rsidR="00B06DDD" w:rsidRDefault="00B06DDD" w:rsidP="00B06DDD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Written procedures for classifying goods, declaring values, and verifying origin.</w:t>
      </w:r>
    </w:p>
    <w:p w:rsidR="00B06DDD" w:rsidRDefault="00B06DDD" w:rsidP="00B06DDD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Designation of a compliance officer or team responsible for customs oversight.</w:t>
      </w:r>
    </w:p>
    <w:p w:rsidR="00B06DDD" w:rsidRPr="00B06DDD" w:rsidRDefault="00B06DDD" w:rsidP="00B06DDD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Use of a customs compliance checklist for every shipment.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lastRenderedPageBreak/>
        <w:t>5. Maintain Comprehensive Documentation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Keep organized and complete records for all imports, including:</w:t>
      </w:r>
    </w:p>
    <w:p w:rsidR="00B06DDD" w:rsidRDefault="00B06DDD" w:rsidP="00B06DDD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Purchase orders, commercial invoices, and shipping documents.</w:t>
      </w:r>
    </w:p>
    <w:p w:rsidR="00B06DDD" w:rsidRDefault="00B06DDD" w:rsidP="00B06DDD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Certificates of origin and rulings issued by CBSA.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6. Seek Professional Guidance from Frontier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Engage customs brokers or consultants for complex issues:</w:t>
      </w:r>
    </w:p>
    <w:p w:rsidR="00B06DDD" w:rsidRDefault="00B06DDD" w:rsidP="00B06DDD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Obtain advance rulings from CBSA on tariff classification, valuation, or origin to avoid disputes.</w:t>
      </w:r>
    </w:p>
    <w:p w:rsidR="00B06DDD" w:rsidRPr="00B06DDD" w:rsidRDefault="00B06DDD" w:rsidP="00B06DDD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Consult with our compliance experts for audits or appeals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Common AMPS Penalty Provisions for Tariff Classification Errors</w:t>
      </w:r>
    </w:p>
    <w:p w:rsidR="00B06DDD" w:rsidRDefault="00B06DDD" w:rsidP="00B06DDD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C082</w:t>
      </w:r>
      <w:r>
        <w:rPr>
          <w:rFonts w:ascii="Aptos" w:eastAsia="Times New Roman" w:hAnsi="Aptos"/>
          <w:color w:val="000000"/>
        </w:rPr>
        <w:t> – Failure to Correctly Classify Goods:</w:t>
      </w:r>
      <w:r>
        <w:rPr>
          <w:rFonts w:ascii="Aptos" w:eastAsia="Times New Roman" w:hAnsi="Aptos"/>
          <w:color w:val="000000"/>
        </w:rPr>
        <w:br/>
        <w:t>This applies when an importer fails to declare the correct tariff classification on their customs documents.</w:t>
      </w:r>
    </w:p>
    <w:p w:rsid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1st Offense</w:t>
      </w:r>
      <w:r>
        <w:rPr>
          <w:rFonts w:ascii="Aptos" w:eastAsia="Times New Roman" w:hAnsi="Aptos"/>
          <w:color w:val="000000"/>
        </w:rPr>
        <w:t>: $150 or 5% of the value for duty of the goods, whichever is greater.</w:t>
      </w:r>
    </w:p>
    <w:p w:rsid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2nd Offense</w:t>
      </w:r>
      <w:r>
        <w:rPr>
          <w:rFonts w:ascii="Aptos" w:eastAsia="Times New Roman" w:hAnsi="Aptos"/>
          <w:color w:val="000000"/>
        </w:rPr>
        <w:t>: $225 or 10% of the value for duty, whichever is greater.</w:t>
      </w:r>
    </w:p>
    <w:p w:rsid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3rd and Subsequent Offenses</w:t>
      </w:r>
      <w:r>
        <w:rPr>
          <w:rFonts w:ascii="Aptos" w:eastAsia="Times New Roman" w:hAnsi="Aptos"/>
          <w:color w:val="000000"/>
        </w:rPr>
        <w:t>: $450 or 20% of the value for duty, whichever is greater.</w:t>
      </w:r>
    </w:p>
    <w:p w:rsidR="00B06DDD" w:rsidRDefault="00B06DDD" w:rsidP="00B06DDD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C353</w:t>
      </w:r>
      <w:r>
        <w:rPr>
          <w:rFonts w:ascii="Aptos" w:eastAsia="Times New Roman" w:hAnsi="Aptos"/>
          <w:color w:val="000000"/>
        </w:rPr>
        <w:t> – Failure to Provide Accurate Information:</w:t>
      </w:r>
      <w:r>
        <w:rPr>
          <w:rFonts w:ascii="Aptos" w:eastAsia="Times New Roman" w:hAnsi="Aptos"/>
          <w:color w:val="000000"/>
        </w:rPr>
        <w:br/>
        <w:t>This is triggered when inaccurate information regarding tariff classification leads to improper duty assessment.</w:t>
      </w:r>
    </w:p>
    <w:p w:rsid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1st Offense</w:t>
      </w:r>
      <w:r>
        <w:rPr>
          <w:rFonts w:ascii="Aptos" w:eastAsia="Times New Roman" w:hAnsi="Aptos"/>
          <w:color w:val="000000"/>
        </w:rPr>
        <w:t>: $500.</w:t>
      </w:r>
    </w:p>
    <w:p w:rsid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2nd Offense</w:t>
      </w:r>
      <w:r>
        <w:rPr>
          <w:rFonts w:ascii="Aptos" w:eastAsia="Times New Roman" w:hAnsi="Aptos"/>
          <w:color w:val="000000"/>
        </w:rPr>
        <w:t>: $750.</w:t>
      </w:r>
    </w:p>
    <w:p w:rsidR="00B06DDD" w:rsidRPr="00B06DDD" w:rsidRDefault="00B06DDD" w:rsidP="00B06DDD">
      <w:pPr>
        <w:numPr>
          <w:ilvl w:val="1"/>
          <w:numId w:val="10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3rd and Subsequent Offenses</w:t>
      </w:r>
      <w:r>
        <w:rPr>
          <w:rFonts w:ascii="Aptos" w:eastAsia="Times New Roman" w:hAnsi="Aptos"/>
          <w:color w:val="000000"/>
        </w:rPr>
        <w:t>: $1,000</w:t>
      </w:r>
    </w:p>
    <w:p w:rsidR="00B06DDD" w:rsidRDefault="00B06DDD" w:rsidP="00B06DD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How to Mitigate Risks</w:t>
      </w:r>
    </w:p>
    <w:p w:rsidR="00B06DDD" w:rsidRPr="00B06DDD" w:rsidRDefault="00B06DDD" w:rsidP="00B06DDD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 xml:space="preserve">Leverage Frontier: </w:t>
      </w:r>
      <w:r w:rsidRPr="00B06DDD">
        <w:rPr>
          <w:rFonts w:ascii="Aptos" w:eastAsia="Times New Roman" w:hAnsi="Aptos"/>
          <w:bCs/>
          <w:color w:val="000000"/>
        </w:rPr>
        <w:t>To ensure accurate classifications.</w:t>
      </w:r>
    </w:p>
    <w:p w:rsidR="00B06DDD" w:rsidRDefault="00B06DDD" w:rsidP="00B06DDD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Have Frontier conduct Pre-Import Classification Audits</w:t>
      </w:r>
      <w:r>
        <w:rPr>
          <w:rFonts w:ascii="Aptos" w:eastAsia="Times New Roman" w:hAnsi="Aptos"/>
          <w:color w:val="000000"/>
        </w:rPr>
        <w:t>: Verify tariff classifications before filing declarations.</w:t>
      </w:r>
    </w:p>
    <w:p w:rsidR="00B06DDD" w:rsidRDefault="00B06DDD" w:rsidP="00B06DDD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Request Advance Rulings</w:t>
      </w:r>
      <w:r>
        <w:rPr>
          <w:rFonts w:ascii="Aptos" w:eastAsia="Times New Roman" w:hAnsi="Aptos"/>
          <w:color w:val="000000"/>
        </w:rPr>
        <w:t>: Obtain CBSA rulings for clarity on complex classifications.</w:t>
      </w:r>
    </w:p>
    <w:p w:rsidR="00B06DDD" w:rsidRDefault="00B06DDD" w:rsidP="00B06DDD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Train Staff</w:t>
      </w:r>
      <w:r>
        <w:rPr>
          <w:rFonts w:ascii="Aptos" w:eastAsia="Times New Roman" w:hAnsi="Aptos"/>
          <w:color w:val="000000"/>
        </w:rPr>
        <w:t>: Ensure employees are familiar with the Harmonized System (HS) and CBSA guidelines.</w:t>
      </w:r>
    </w:p>
    <w:p w:rsidR="00B06DDD" w:rsidRPr="00B06DDD" w:rsidRDefault="00B06DDD" w:rsidP="00B06DDD">
      <w:pPr>
        <w:spacing w:before="100" w:beforeAutospacing="1" w:after="100" w:afterAutospacing="1"/>
        <w:ind w:left="720"/>
        <w:rPr>
          <w:rFonts w:ascii="Aptos" w:eastAsia="Times New Roman" w:hAnsi="Aptos"/>
          <w:color w:val="000000"/>
        </w:rPr>
      </w:pPr>
    </w:p>
    <w:p w:rsidR="005F770B" w:rsidRDefault="005F770B"/>
    <w:sectPr w:rsidR="005F7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460"/>
    <w:multiLevelType w:val="multilevel"/>
    <w:tmpl w:val="1BE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7345"/>
    <w:multiLevelType w:val="multilevel"/>
    <w:tmpl w:val="022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516D"/>
    <w:multiLevelType w:val="multilevel"/>
    <w:tmpl w:val="F628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A7A22"/>
    <w:multiLevelType w:val="multilevel"/>
    <w:tmpl w:val="78F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11B"/>
    <w:multiLevelType w:val="multilevel"/>
    <w:tmpl w:val="18E6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B17E0"/>
    <w:multiLevelType w:val="hybridMultilevel"/>
    <w:tmpl w:val="600C0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E14"/>
    <w:multiLevelType w:val="multilevel"/>
    <w:tmpl w:val="E1B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15337"/>
    <w:multiLevelType w:val="multilevel"/>
    <w:tmpl w:val="497C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22CE2"/>
    <w:multiLevelType w:val="multilevel"/>
    <w:tmpl w:val="4A1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A15C6"/>
    <w:multiLevelType w:val="multilevel"/>
    <w:tmpl w:val="125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93798"/>
    <w:multiLevelType w:val="multilevel"/>
    <w:tmpl w:val="1FA6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C2D4A"/>
    <w:multiLevelType w:val="hybridMultilevel"/>
    <w:tmpl w:val="73DE8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B5169"/>
    <w:multiLevelType w:val="multilevel"/>
    <w:tmpl w:val="C36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1417"/>
    <w:multiLevelType w:val="multilevel"/>
    <w:tmpl w:val="EFA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4248B"/>
    <w:multiLevelType w:val="multilevel"/>
    <w:tmpl w:val="473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D"/>
    <w:rsid w:val="005F770B"/>
    <w:rsid w:val="007123A0"/>
    <w:rsid w:val="00B0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41D9-5A7D-496E-B9B9-EAF4DD3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D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Cayli McCormick</dc:creator>
  <cp:keywords/>
  <dc:description/>
  <cp:lastModifiedBy>Cayli McCormick</cp:lastModifiedBy>
  <cp:revision>2</cp:revision>
  <dcterms:created xsi:type="dcterms:W3CDTF">2024-12-20T16:48:00Z</dcterms:created>
  <dcterms:modified xsi:type="dcterms:W3CDTF">2024-12-20T16:48:00Z</dcterms:modified>
</cp:coreProperties>
</file>