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51A" w14:textId="77777777" w:rsidR="001D4DCE" w:rsidRPr="001D4DCE" w:rsidRDefault="001D4DCE" w:rsidP="005C610C">
      <w:pPr>
        <w:spacing w:before="100" w:beforeAutospacing="1" w:after="100" w:afterAutospacing="1" w:line="240" w:lineRule="auto"/>
        <w:jc w:val="center"/>
        <w:outlineLvl w:val="4"/>
        <w:rPr>
          <w:rFonts w:ascii="Times New Roman" w:eastAsia="Times New Roman" w:hAnsi="Times New Roman" w:cs="Times New Roman"/>
          <w:b/>
          <w:bCs/>
          <w:sz w:val="24"/>
          <w:szCs w:val="24"/>
        </w:rPr>
      </w:pPr>
      <w:bookmarkStart w:id="0" w:name="56:q4281"/>
      <w:r w:rsidRPr="001D4DCE">
        <w:rPr>
          <w:rFonts w:ascii="Times New Roman" w:eastAsia="Times New Roman" w:hAnsi="Times New Roman" w:cs="Times New Roman"/>
          <w:b/>
          <w:bCs/>
          <w:sz w:val="24"/>
          <w:szCs w:val="24"/>
        </w:rPr>
        <w:t>General Information on Customs Bonds</w:t>
      </w:r>
      <w:bookmarkEnd w:id="0"/>
    </w:p>
    <w:p w14:paraId="1DDA192D" w14:textId="77777777" w:rsidR="005C610C" w:rsidRDefault="001D4DCE" w:rsidP="001D4DCE">
      <w:pPr>
        <w:spacing w:before="100" w:beforeAutospacing="1" w:after="100" w:afterAutospacing="1" w:line="240" w:lineRule="auto"/>
        <w:rPr>
          <w:rFonts w:eastAsia="Times New Roman" w:cstheme="minorHAnsi"/>
          <w:sz w:val="24"/>
          <w:szCs w:val="24"/>
        </w:rPr>
      </w:pPr>
      <w:r w:rsidRPr="001D4DCE">
        <w:rPr>
          <w:rFonts w:eastAsia="Times New Roman" w:cstheme="minorHAnsi"/>
          <w:sz w:val="24"/>
          <w:szCs w:val="24"/>
        </w:rPr>
        <w:t>An importer must provide CBP with an </w:t>
      </w:r>
      <w:hyperlink r:id="rId5" w:history="1">
        <w:r w:rsidRPr="005C610C">
          <w:rPr>
            <w:rFonts w:eastAsia="Times New Roman" w:cstheme="minorHAnsi"/>
            <w:b/>
            <w:sz w:val="24"/>
            <w:szCs w:val="24"/>
          </w:rPr>
          <w:t>importer customs bond</w:t>
        </w:r>
      </w:hyperlink>
      <w:r w:rsidRPr="001D4DCE">
        <w:rPr>
          <w:rFonts w:eastAsia="Times New Roman" w:cstheme="minorHAnsi"/>
          <w:sz w:val="24"/>
          <w:szCs w:val="24"/>
        </w:rPr>
        <w:t> as a condition of processing a </w:t>
      </w:r>
      <w:hyperlink r:id="rId6" w:history="1">
        <w:r w:rsidRPr="005C610C">
          <w:rPr>
            <w:rFonts w:eastAsia="Times New Roman" w:cstheme="minorHAnsi"/>
            <w:b/>
            <w:sz w:val="24"/>
            <w:szCs w:val="24"/>
          </w:rPr>
          <w:t>formal entry</w:t>
        </w:r>
      </w:hyperlink>
      <w:r w:rsidRPr="001D4DCE">
        <w:rPr>
          <w:rFonts w:eastAsia="Times New Roman" w:cstheme="minorHAnsi"/>
          <w:sz w:val="24"/>
          <w:szCs w:val="24"/>
        </w:rPr>
        <w:t> for </w:t>
      </w:r>
      <w:hyperlink r:id="rId7" w:history="1">
        <w:r w:rsidRPr="005C610C">
          <w:rPr>
            <w:rFonts w:eastAsia="Times New Roman" w:cstheme="minorHAnsi"/>
            <w:sz w:val="24"/>
            <w:szCs w:val="24"/>
          </w:rPr>
          <w:t>customs clearance</w:t>
        </w:r>
      </w:hyperlink>
      <w:r w:rsidRPr="001D4DCE">
        <w:rPr>
          <w:rFonts w:eastAsia="Times New Roman" w:cstheme="minorHAnsi"/>
          <w:sz w:val="24"/>
          <w:szCs w:val="24"/>
        </w:rPr>
        <w:t> of imported cargo. This is so that CBP can release merchandise prior to the determination of all duties that may be owed and the importer ensures their payment and compliance with other applicable laws and regulations.</w:t>
      </w:r>
    </w:p>
    <w:p w14:paraId="530485B3" w14:textId="77777777" w:rsidR="005C610C" w:rsidRPr="001D4DCE" w:rsidRDefault="005C610C" w:rsidP="005C610C">
      <w:pPr>
        <w:pStyle w:val="NormalWeb"/>
        <w:rPr>
          <w:rFonts w:asciiTheme="minorHAnsi" w:hAnsiTheme="minorHAnsi" w:cstheme="minorHAnsi"/>
          <w:color w:val="000000"/>
        </w:rPr>
      </w:pPr>
      <w:r w:rsidRPr="005C610C">
        <w:rPr>
          <w:rFonts w:asciiTheme="minorHAnsi" w:hAnsiTheme="minorHAnsi" w:cstheme="minorHAnsi"/>
          <w:color w:val="000000"/>
        </w:rPr>
        <w:t>A </w:t>
      </w:r>
      <w:hyperlink r:id="rId8" w:history="1">
        <w:r w:rsidRPr="005C610C">
          <w:rPr>
            <w:rStyle w:val="Hyperlink"/>
            <w:rFonts w:asciiTheme="minorHAnsi" w:hAnsiTheme="minorHAnsi" w:cstheme="minorHAnsi"/>
            <w:b/>
            <w:color w:val="auto"/>
            <w:u w:val="none"/>
          </w:rPr>
          <w:t>formal customs entry</w:t>
        </w:r>
      </w:hyperlink>
      <w:r w:rsidRPr="005C610C">
        <w:rPr>
          <w:rFonts w:asciiTheme="minorHAnsi" w:hAnsiTheme="minorHAnsi" w:cstheme="minorHAnsi"/>
        </w:rPr>
        <w:t> is required for commercial goods valued at US$2,500 or more ($10,000 or more for </w:t>
      </w:r>
      <w:hyperlink r:id="rId9" w:history="1">
        <w:r w:rsidRPr="005C610C">
          <w:rPr>
            <w:rStyle w:val="Hyperlink"/>
            <w:rFonts w:asciiTheme="minorHAnsi" w:hAnsiTheme="minorHAnsi" w:cstheme="minorHAnsi"/>
            <w:color w:val="auto"/>
            <w:u w:val="none"/>
          </w:rPr>
          <w:t>returned U.S. product</w:t>
        </w:r>
      </w:hyperlink>
      <w:r w:rsidRPr="005C610C">
        <w:rPr>
          <w:rFonts w:asciiTheme="minorHAnsi" w:hAnsiTheme="minorHAnsi" w:cstheme="minorHAnsi"/>
        </w:rPr>
        <w:t>s</w:t>
      </w:r>
      <w:r w:rsidR="006C3C12">
        <w:rPr>
          <w:rFonts w:asciiTheme="minorHAnsi" w:hAnsiTheme="minorHAnsi" w:cstheme="minorHAnsi"/>
        </w:rPr>
        <w:t>)</w:t>
      </w:r>
      <w:r w:rsidR="00FD1CF8">
        <w:rPr>
          <w:rFonts w:asciiTheme="minorHAnsi" w:hAnsiTheme="minorHAnsi" w:cstheme="minorHAnsi"/>
        </w:rPr>
        <w:t>.</w:t>
      </w:r>
    </w:p>
    <w:p w14:paraId="6F8A0EA6" w14:textId="77777777" w:rsidR="001D4DCE" w:rsidRPr="001D4DCE" w:rsidRDefault="001D4DCE" w:rsidP="001D4DCE">
      <w:pPr>
        <w:spacing w:before="100" w:beforeAutospacing="1" w:after="100" w:afterAutospacing="1" w:line="240" w:lineRule="auto"/>
        <w:rPr>
          <w:rFonts w:eastAsia="Times New Roman" w:cstheme="minorHAnsi"/>
          <w:sz w:val="24"/>
          <w:szCs w:val="24"/>
        </w:rPr>
      </w:pPr>
      <w:r w:rsidRPr="001D4DCE">
        <w:rPr>
          <w:rFonts w:eastAsia="Times New Roman" w:cstheme="minorHAnsi"/>
          <w:sz w:val="24"/>
          <w:szCs w:val="24"/>
        </w:rPr>
        <w:t>There are two basic types of importer's bonds: </w:t>
      </w:r>
      <w:hyperlink r:id="rId10" w:history="1">
        <w:r w:rsidRPr="005C610C">
          <w:rPr>
            <w:rFonts w:eastAsia="Times New Roman" w:cstheme="minorHAnsi"/>
            <w:b/>
            <w:sz w:val="24"/>
            <w:szCs w:val="24"/>
          </w:rPr>
          <w:t>continuous bond</w:t>
        </w:r>
      </w:hyperlink>
      <w:r w:rsidRPr="001D4DCE">
        <w:rPr>
          <w:rFonts w:eastAsia="Times New Roman" w:cstheme="minorHAnsi"/>
          <w:b/>
          <w:sz w:val="24"/>
          <w:szCs w:val="24"/>
        </w:rPr>
        <w:t>s</w:t>
      </w:r>
      <w:r w:rsidRPr="001D4DCE">
        <w:rPr>
          <w:rFonts w:eastAsia="Times New Roman" w:cstheme="minorHAnsi"/>
          <w:sz w:val="24"/>
          <w:szCs w:val="24"/>
        </w:rPr>
        <w:t xml:space="preserve"> (the most widely-used type) and </w:t>
      </w:r>
      <w:hyperlink r:id="rId11" w:history="1">
        <w:r w:rsidRPr="005C610C">
          <w:rPr>
            <w:rFonts w:eastAsia="Times New Roman" w:cstheme="minorHAnsi"/>
            <w:b/>
            <w:sz w:val="24"/>
            <w:szCs w:val="24"/>
          </w:rPr>
          <w:t>single transaction bond</w:t>
        </w:r>
      </w:hyperlink>
      <w:r w:rsidRPr="001D4DCE">
        <w:rPr>
          <w:rFonts w:eastAsia="Times New Roman" w:cstheme="minorHAnsi"/>
          <w:b/>
          <w:sz w:val="24"/>
          <w:szCs w:val="24"/>
        </w:rPr>
        <w:t>s</w:t>
      </w:r>
      <w:r w:rsidRPr="001D4DCE">
        <w:rPr>
          <w:rFonts w:eastAsia="Times New Roman" w:cstheme="minorHAnsi"/>
          <w:sz w:val="24"/>
          <w:szCs w:val="24"/>
        </w:rPr>
        <w:t>. In certain cases, CBP may require that an importer's continuous bond be extended to cover additional amounts and types of liability via </w:t>
      </w:r>
      <w:hyperlink r:id="rId12" w:history="1">
        <w:r w:rsidRPr="005C610C">
          <w:rPr>
            <w:rFonts w:eastAsia="Times New Roman" w:cstheme="minorHAnsi"/>
            <w:sz w:val="24"/>
            <w:szCs w:val="24"/>
          </w:rPr>
          <w:t>rider</w:t>
        </w:r>
      </w:hyperlink>
      <w:r w:rsidRPr="001D4DCE">
        <w:rPr>
          <w:rFonts w:eastAsia="Times New Roman" w:cstheme="minorHAnsi"/>
          <w:sz w:val="24"/>
          <w:szCs w:val="24"/>
        </w:rPr>
        <w:t>s (for example, a </w:t>
      </w:r>
      <w:hyperlink r:id="rId13" w:history="1">
        <w:r w:rsidRPr="005C610C">
          <w:rPr>
            <w:rFonts w:eastAsia="Times New Roman" w:cstheme="minorHAnsi"/>
            <w:sz w:val="24"/>
            <w:szCs w:val="24"/>
          </w:rPr>
          <w:t>countervailing duty bond</w:t>
        </w:r>
      </w:hyperlink>
      <w:r w:rsidRPr="001D4DCE">
        <w:rPr>
          <w:rFonts w:eastAsia="Times New Roman" w:cstheme="minorHAnsi"/>
          <w:sz w:val="24"/>
          <w:szCs w:val="24"/>
        </w:rPr>
        <w:t> rider).</w:t>
      </w:r>
      <w:r w:rsidR="006C3C12">
        <w:rPr>
          <w:rFonts w:eastAsia="Times New Roman" w:cstheme="minorHAnsi"/>
          <w:sz w:val="24"/>
          <w:szCs w:val="24"/>
        </w:rPr>
        <w:t xml:space="preserve">  But this is a rare occurrence for us at FNA. </w:t>
      </w:r>
    </w:p>
    <w:p w14:paraId="1E60E25B" w14:textId="77777777" w:rsidR="001D4DCE" w:rsidRPr="005C610C" w:rsidRDefault="001D4DCE" w:rsidP="001D4DCE">
      <w:pPr>
        <w:spacing w:before="100" w:beforeAutospacing="1" w:after="100" w:afterAutospacing="1" w:line="240" w:lineRule="auto"/>
        <w:rPr>
          <w:rFonts w:eastAsia="Times New Roman" w:cstheme="minorHAnsi"/>
          <w:sz w:val="24"/>
          <w:szCs w:val="24"/>
        </w:rPr>
      </w:pPr>
      <w:bookmarkStart w:id="1" w:name="56:r4475"/>
      <w:bookmarkEnd w:id="1"/>
      <w:r w:rsidRPr="001D4DCE">
        <w:rPr>
          <w:rFonts w:eastAsia="Times New Roman" w:cstheme="minorHAnsi"/>
          <w:sz w:val="24"/>
          <w:szCs w:val="24"/>
        </w:rPr>
        <w:t>Most importer's bonds are arranged by a </w:t>
      </w:r>
      <w:hyperlink r:id="rId14" w:history="1">
        <w:r w:rsidRPr="005C610C">
          <w:rPr>
            <w:rFonts w:eastAsia="Times New Roman" w:cstheme="minorHAnsi"/>
            <w:sz w:val="24"/>
            <w:szCs w:val="24"/>
          </w:rPr>
          <w:t>customs broker</w:t>
        </w:r>
      </w:hyperlink>
      <w:r w:rsidRPr="001D4DCE">
        <w:rPr>
          <w:rFonts w:eastAsia="Times New Roman" w:cstheme="minorHAnsi"/>
          <w:sz w:val="24"/>
          <w:szCs w:val="24"/>
        </w:rPr>
        <w:t> acting as both the agent of the importer as well as the agent of the </w:t>
      </w:r>
      <w:hyperlink r:id="rId15" w:history="1">
        <w:r w:rsidRPr="005C610C">
          <w:rPr>
            <w:rFonts w:eastAsia="Times New Roman" w:cstheme="minorHAnsi"/>
            <w:sz w:val="24"/>
            <w:szCs w:val="24"/>
          </w:rPr>
          <w:t>surety</w:t>
        </w:r>
      </w:hyperlink>
      <w:r w:rsidRPr="001D4DCE">
        <w:rPr>
          <w:rFonts w:eastAsia="Times New Roman" w:cstheme="minorHAnsi"/>
          <w:sz w:val="24"/>
          <w:szCs w:val="24"/>
        </w:rPr>
        <w:t>. </w:t>
      </w:r>
      <w:bookmarkStart w:id="2" w:name="56:r4476"/>
      <w:bookmarkEnd w:id="2"/>
      <w:r w:rsidRPr="001D4DCE">
        <w:rPr>
          <w:rFonts w:eastAsia="Times New Roman" w:cstheme="minorHAnsi"/>
          <w:sz w:val="24"/>
          <w:szCs w:val="24"/>
        </w:rPr>
        <w:t>Before "executing" (signing a bond on behalf of an importer and surety) and filing an importer's bond with CBP, a customs broker must have an </w:t>
      </w:r>
      <w:hyperlink r:id="rId16" w:history="1">
        <w:r w:rsidRPr="005C610C">
          <w:rPr>
            <w:rFonts w:eastAsia="Times New Roman" w:cstheme="minorHAnsi"/>
            <w:sz w:val="24"/>
            <w:szCs w:val="24"/>
          </w:rPr>
          <w:t>importer power of attorney</w:t>
        </w:r>
      </w:hyperlink>
      <w:r w:rsidRPr="001D4DCE">
        <w:rPr>
          <w:rFonts w:eastAsia="Times New Roman" w:cstheme="minorHAnsi"/>
          <w:sz w:val="24"/>
          <w:szCs w:val="24"/>
        </w:rPr>
        <w:t> from the importer. </w:t>
      </w:r>
      <w:bookmarkStart w:id="3" w:name="56:r5854"/>
      <w:bookmarkEnd w:id="3"/>
      <w:r w:rsidRPr="001D4DCE">
        <w:rPr>
          <w:rFonts w:eastAsia="Times New Roman" w:cstheme="minorHAnsi"/>
          <w:sz w:val="24"/>
          <w:szCs w:val="24"/>
        </w:rPr>
        <w:t>An insurance broker can also arrange a bond for an importer and can even sign the bond on behalf of the importer under proper power of attorney, but cannot file the bond with CBP, as this constitutes "customs business" for which a customs broker license is required.</w:t>
      </w:r>
    </w:p>
    <w:p w14:paraId="05D86DD7" w14:textId="77777777" w:rsidR="001D4DCE" w:rsidRDefault="001D4DCE" w:rsidP="001D4DCE">
      <w:pPr>
        <w:pStyle w:val="NormalWeb"/>
        <w:rPr>
          <w:rFonts w:asciiTheme="minorHAnsi" w:hAnsiTheme="minorHAnsi" w:cstheme="minorHAnsi"/>
        </w:rPr>
      </w:pPr>
      <w:bookmarkStart w:id="4" w:name="56:r4489"/>
      <w:bookmarkStart w:id="5" w:name="56:r4490"/>
      <w:bookmarkEnd w:id="4"/>
      <w:bookmarkEnd w:id="5"/>
      <w:r w:rsidRPr="005C610C">
        <w:rPr>
          <w:rFonts w:asciiTheme="minorHAnsi" w:hAnsiTheme="minorHAnsi" w:cstheme="minorHAnsi"/>
        </w:rPr>
        <w:t>Before preparing a formal entry, a </w:t>
      </w:r>
      <w:hyperlink r:id="rId17" w:history="1">
        <w:r w:rsidRPr="005C610C">
          <w:rPr>
            <w:rStyle w:val="Hyperlink"/>
            <w:rFonts w:asciiTheme="minorHAnsi" w:hAnsiTheme="minorHAnsi" w:cstheme="minorHAnsi"/>
            <w:color w:val="auto"/>
            <w:u w:val="none"/>
          </w:rPr>
          <w:t>customs broker</w:t>
        </w:r>
      </w:hyperlink>
      <w:r w:rsidRPr="005C610C">
        <w:rPr>
          <w:rFonts w:asciiTheme="minorHAnsi" w:hAnsiTheme="minorHAnsi" w:cstheme="minorHAnsi"/>
        </w:rPr>
        <w:t> must either have the importer's existing continuous bond information, if the importer has one</w:t>
      </w:r>
      <w:r w:rsidR="00055F99">
        <w:rPr>
          <w:rFonts w:asciiTheme="minorHAnsi" w:hAnsiTheme="minorHAnsi" w:cstheme="minorHAnsi"/>
        </w:rPr>
        <w:t>,</w:t>
      </w:r>
      <w:r w:rsidR="00055F99" w:rsidRPr="005C610C">
        <w:rPr>
          <w:rFonts w:asciiTheme="minorHAnsi" w:hAnsiTheme="minorHAnsi" w:cstheme="minorHAnsi"/>
        </w:rPr>
        <w:t xml:space="preserve"> </w:t>
      </w:r>
      <w:r w:rsidRPr="005C610C">
        <w:rPr>
          <w:rFonts w:asciiTheme="minorHAnsi" w:hAnsiTheme="minorHAnsi" w:cstheme="minorHAnsi"/>
        </w:rPr>
        <w:t xml:space="preserve">or must execute a single transaction bond if the importer does not already have one. </w:t>
      </w:r>
      <w:r w:rsidR="00474B51">
        <w:rPr>
          <w:rFonts w:asciiTheme="minorHAnsi" w:hAnsiTheme="minorHAnsi" w:cstheme="minorHAnsi"/>
        </w:rPr>
        <w:t xml:space="preserve">This should be programmed at time of account setup, but an importer bond query should always be done for more infrequent importers. </w:t>
      </w:r>
    </w:p>
    <w:p w14:paraId="5AFA8E19" w14:textId="77777777" w:rsidR="00474B51" w:rsidRPr="00474B51" w:rsidRDefault="00474B51" w:rsidP="001D4DCE">
      <w:pPr>
        <w:pStyle w:val="NormalWeb"/>
        <w:rPr>
          <w:rFonts w:asciiTheme="minorHAnsi" w:hAnsiTheme="minorHAnsi" w:cstheme="minorHAnsi"/>
          <w:u w:val="single"/>
        </w:rPr>
      </w:pPr>
      <w:r w:rsidRPr="00474B51">
        <w:rPr>
          <w:rFonts w:asciiTheme="minorHAnsi" w:hAnsiTheme="minorHAnsi" w:cstheme="minorHAnsi"/>
          <w:u w:val="single"/>
        </w:rPr>
        <w:t>More about Single Transaction Bonds and Continuous bonds</w:t>
      </w:r>
    </w:p>
    <w:p w14:paraId="592A2960" w14:textId="77777777" w:rsidR="001D4DCE" w:rsidRPr="001D4DCE" w:rsidRDefault="00474B51" w:rsidP="001D4DCE">
      <w:pPr>
        <w:shd w:val="clear" w:color="auto" w:fill="FFFFFF"/>
        <w:spacing w:after="0" w:line="240" w:lineRule="auto"/>
        <w:rPr>
          <w:rFonts w:eastAsia="Times New Roman" w:cstheme="minorHAnsi"/>
          <w:b/>
          <w:sz w:val="24"/>
          <w:szCs w:val="24"/>
        </w:rPr>
      </w:pPr>
      <w:r w:rsidRPr="001605E8">
        <w:rPr>
          <w:rFonts w:eastAsia="Times New Roman" w:cstheme="minorHAnsi"/>
          <w:b/>
          <w:sz w:val="24"/>
          <w:szCs w:val="24"/>
        </w:rPr>
        <w:t>Single Transaction Bond (STB)</w:t>
      </w:r>
    </w:p>
    <w:p w14:paraId="41822EFA" w14:textId="77777777" w:rsidR="001D4DCE" w:rsidRPr="001D4DCE" w:rsidRDefault="001D4DCE" w:rsidP="00474B51">
      <w:pPr>
        <w:shd w:val="clear" w:color="auto" w:fill="FFFFFF"/>
        <w:spacing w:after="0" w:line="240" w:lineRule="auto"/>
        <w:ind w:left="720"/>
        <w:rPr>
          <w:rFonts w:eastAsia="Times New Roman" w:cstheme="minorHAnsi"/>
          <w:sz w:val="24"/>
          <w:szCs w:val="24"/>
        </w:rPr>
      </w:pPr>
      <w:r w:rsidRPr="001D4DCE">
        <w:rPr>
          <w:rFonts w:eastAsia="Times New Roman" w:cstheme="minorHAnsi"/>
          <w:sz w:val="24"/>
          <w:szCs w:val="24"/>
        </w:rPr>
        <w:t>This is a type of </w:t>
      </w:r>
      <w:hyperlink r:id="rId18" w:history="1">
        <w:r w:rsidRPr="005C610C">
          <w:rPr>
            <w:rFonts w:eastAsia="Times New Roman" w:cstheme="minorHAnsi"/>
            <w:sz w:val="24"/>
            <w:szCs w:val="24"/>
          </w:rPr>
          <w:t>customs bond</w:t>
        </w:r>
      </w:hyperlink>
      <w:r w:rsidRPr="001D4DCE">
        <w:rPr>
          <w:rFonts w:eastAsia="Times New Roman" w:cstheme="minorHAnsi"/>
          <w:sz w:val="24"/>
          <w:szCs w:val="24"/>
        </w:rPr>
        <w:t> required from a CBP-approved </w:t>
      </w:r>
      <w:hyperlink r:id="rId19" w:history="1">
        <w:r w:rsidRPr="005C610C">
          <w:rPr>
            <w:rFonts w:eastAsia="Times New Roman" w:cstheme="minorHAnsi"/>
            <w:sz w:val="24"/>
            <w:szCs w:val="24"/>
          </w:rPr>
          <w:t>surety</w:t>
        </w:r>
      </w:hyperlink>
      <w:r w:rsidRPr="001D4DCE">
        <w:rPr>
          <w:rFonts w:eastAsia="Times New Roman" w:cstheme="minorHAnsi"/>
          <w:sz w:val="24"/>
          <w:szCs w:val="24"/>
        </w:rPr>
        <w:t> in order for the </w:t>
      </w:r>
      <w:hyperlink r:id="rId20" w:history="1">
        <w:r w:rsidRPr="005C610C">
          <w:rPr>
            <w:rFonts w:eastAsia="Times New Roman" w:cstheme="minorHAnsi"/>
            <w:sz w:val="24"/>
            <w:szCs w:val="24"/>
          </w:rPr>
          <w:t>principal</w:t>
        </w:r>
      </w:hyperlink>
      <w:r w:rsidRPr="001D4DCE">
        <w:rPr>
          <w:rFonts w:eastAsia="Times New Roman" w:cstheme="minorHAnsi"/>
          <w:sz w:val="24"/>
          <w:szCs w:val="24"/>
        </w:rPr>
        <w:t> on the bond to process a </w:t>
      </w:r>
      <w:r w:rsidRPr="001D4DCE">
        <w:rPr>
          <w:rFonts w:eastAsia="Times New Roman" w:cstheme="minorHAnsi"/>
          <w:i/>
          <w:iCs/>
          <w:sz w:val="24"/>
          <w:szCs w:val="24"/>
        </w:rPr>
        <w:t>single</w:t>
      </w:r>
      <w:r w:rsidRPr="001D4DCE">
        <w:rPr>
          <w:rFonts w:eastAsia="Times New Roman" w:cstheme="minorHAnsi"/>
          <w:sz w:val="24"/>
          <w:szCs w:val="24"/>
        </w:rPr>
        <w:t> </w:t>
      </w:r>
      <w:hyperlink r:id="rId21" w:history="1">
        <w:r w:rsidRPr="005C610C">
          <w:rPr>
            <w:rFonts w:eastAsia="Times New Roman" w:cstheme="minorHAnsi"/>
            <w:sz w:val="24"/>
            <w:szCs w:val="24"/>
          </w:rPr>
          <w:t>customs formal entry</w:t>
        </w:r>
      </w:hyperlink>
      <w:r w:rsidRPr="001D4DCE">
        <w:rPr>
          <w:rFonts w:eastAsia="Times New Roman" w:cstheme="minorHAnsi"/>
          <w:sz w:val="24"/>
          <w:szCs w:val="24"/>
        </w:rPr>
        <w:t> or other customs transaction for which CBP requires a customs bond.</w:t>
      </w:r>
      <w:r w:rsidRPr="005C610C">
        <w:rPr>
          <w:rFonts w:eastAsia="Times New Roman" w:cstheme="minorHAnsi"/>
          <w:sz w:val="24"/>
          <w:szCs w:val="24"/>
        </w:rPr>
        <w:t xml:space="preserve">  </w:t>
      </w:r>
      <w:r w:rsidRPr="005C610C">
        <w:rPr>
          <w:rFonts w:cstheme="minorHAnsi"/>
          <w:color w:val="000000"/>
          <w:sz w:val="24"/>
          <w:szCs w:val="24"/>
          <w:shd w:val="clear" w:color="auto" w:fill="FFFFFF"/>
        </w:rPr>
        <w:t xml:space="preserve">It is used by a one-time </w:t>
      </w:r>
      <w:r w:rsidRPr="005C610C">
        <w:rPr>
          <w:rFonts w:cstheme="minorHAnsi"/>
          <w:sz w:val="24"/>
          <w:szCs w:val="24"/>
          <w:shd w:val="clear" w:color="auto" w:fill="FFFFFF"/>
        </w:rPr>
        <w:t>or occasional importer when it is not cost-effective for such importer to obtain a </w:t>
      </w:r>
      <w:hyperlink r:id="rId22" w:history="1">
        <w:r w:rsidRPr="005C610C">
          <w:rPr>
            <w:rStyle w:val="Hyperlink"/>
            <w:rFonts w:cstheme="minorHAnsi"/>
            <w:color w:val="auto"/>
            <w:sz w:val="24"/>
            <w:szCs w:val="24"/>
            <w:u w:val="none"/>
            <w:shd w:val="clear" w:color="auto" w:fill="FFFFFF"/>
          </w:rPr>
          <w:t>continuous bond</w:t>
        </w:r>
      </w:hyperlink>
      <w:r w:rsidRPr="005C610C">
        <w:rPr>
          <w:rFonts w:cstheme="minorHAnsi"/>
          <w:sz w:val="24"/>
          <w:szCs w:val="24"/>
          <w:shd w:val="clear" w:color="auto" w:fill="FFFFFF"/>
        </w:rPr>
        <w:t xml:space="preserve">, or when </w:t>
      </w:r>
      <w:r w:rsidRPr="005C610C">
        <w:rPr>
          <w:rFonts w:cstheme="minorHAnsi"/>
          <w:color w:val="000000"/>
          <w:sz w:val="24"/>
          <w:szCs w:val="24"/>
          <w:shd w:val="clear" w:color="auto" w:fill="FFFFFF"/>
        </w:rPr>
        <w:t xml:space="preserve">CBP may require this type of bond on a particular customs entry when the required bond amount exceeds the amount of an importer's continuous bond. </w:t>
      </w:r>
    </w:p>
    <w:p w14:paraId="3A510443"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In most cases, the amount of the bond must be equal to the </w:t>
      </w:r>
      <w:hyperlink r:id="rId23" w:history="1">
        <w:r w:rsidRPr="005C610C">
          <w:rPr>
            <w:rFonts w:eastAsia="Times New Roman" w:cstheme="minorHAnsi"/>
            <w:sz w:val="24"/>
            <w:szCs w:val="24"/>
          </w:rPr>
          <w:t>customs entered value</w:t>
        </w:r>
      </w:hyperlink>
      <w:r w:rsidRPr="001D4DCE">
        <w:rPr>
          <w:rFonts w:eastAsia="Times New Roman" w:cstheme="minorHAnsi"/>
          <w:sz w:val="24"/>
          <w:szCs w:val="24"/>
        </w:rPr>
        <w:t> of the goods, plus </w:t>
      </w:r>
      <w:hyperlink r:id="rId24" w:history="1">
        <w:r w:rsidRPr="005C610C">
          <w:rPr>
            <w:rFonts w:eastAsia="Times New Roman" w:cstheme="minorHAnsi"/>
            <w:sz w:val="24"/>
            <w:szCs w:val="24"/>
          </w:rPr>
          <w:t>estimated duties</w:t>
        </w:r>
      </w:hyperlink>
      <w:r w:rsidRPr="001D4DCE">
        <w:rPr>
          <w:rFonts w:eastAsia="Times New Roman" w:cstheme="minorHAnsi"/>
          <w:sz w:val="24"/>
          <w:szCs w:val="24"/>
        </w:rPr>
        <w:t> thereon. In certain cases, the bond may be for a lesser amount, such as in the case of certain temporary importations (see </w:t>
      </w:r>
      <w:hyperlink r:id="rId25" w:history="1">
        <w:r w:rsidRPr="005C610C">
          <w:rPr>
            <w:rFonts w:eastAsia="Times New Roman" w:cstheme="minorHAnsi"/>
            <w:sz w:val="24"/>
            <w:szCs w:val="24"/>
          </w:rPr>
          <w:t>temporary import bond</w:t>
        </w:r>
      </w:hyperlink>
      <w:r w:rsidRPr="001D4DCE">
        <w:rPr>
          <w:rFonts w:eastAsia="Times New Roman" w:cstheme="minorHAnsi"/>
          <w:sz w:val="24"/>
          <w:szCs w:val="24"/>
        </w:rPr>
        <w:t>). Or, a bond in a higher, perhaps much higher, amount than entered value may be required in the case of</w:t>
      </w:r>
      <w:r w:rsidR="001605E8">
        <w:rPr>
          <w:rFonts w:eastAsia="Times New Roman" w:cstheme="minorHAnsi"/>
          <w:sz w:val="24"/>
          <w:szCs w:val="24"/>
        </w:rPr>
        <w:t xml:space="preserve"> merchandise subject to Partner Government Agencies such as </w:t>
      </w:r>
      <w:r w:rsidR="001605E8">
        <w:rPr>
          <w:rFonts w:eastAsia="Times New Roman" w:cstheme="minorHAnsi"/>
          <w:sz w:val="24"/>
          <w:szCs w:val="24"/>
        </w:rPr>
        <w:lastRenderedPageBreak/>
        <w:t>FDA and EPA</w:t>
      </w:r>
      <w:r w:rsidRPr="001D4DCE">
        <w:rPr>
          <w:rFonts w:eastAsia="Times New Roman" w:cstheme="minorHAnsi"/>
          <w:sz w:val="24"/>
          <w:szCs w:val="24"/>
        </w:rPr>
        <w:t xml:space="preserve"> (triple entered value), or for goods subject to an </w:t>
      </w:r>
      <w:hyperlink r:id="rId26" w:history="1">
        <w:r w:rsidRPr="005C610C">
          <w:rPr>
            <w:rFonts w:eastAsia="Times New Roman" w:cstheme="minorHAnsi"/>
            <w:sz w:val="24"/>
            <w:szCs w:val="24"/>
          </w:rPr>
          <w:t>antidumping duty</w:t>
        </w:r>
      </w:hyperlink>
      <w:r w:rsidRPr="001D4DCE">
        <w:rPr>
          <w:rFonts w:eastAsia="Times New Roman" w:cstheme="minorHAnsi"/>
          <w:sz w:val="24"/>
          <w:szCs w:val="24"/>
        </w:rPr>
        <w:t> (ADD) or </w:t>
      </w:r>
      <w:hyperlink r:id="rId27" w:history="1">
        <w:r w:rsidRPr="005C610C">
          <w:rPr>
            <w:rFonts w:eastAsia="Times New Roman" w:cstheme="minorHAnsi"/>
            <w:sz w:val="24"/>
            <w:szCs w:val="24"/>
          </w:rPr>
          <w:t>countervailing duty</w:t>
        </w:r>
      </w:hyperlink>
      <w:r w:rsidRPr="001D4DCE">
        <w:rPr>
          <w:rFonts w:eastAsia="Times New Roman" w:cstheme="minorHAnsi"/>
          <w:sz w:val="24"/>
          <w:szCs w:val="24"/>
        </w:rPr>
        <w:t> (CVD) (see </w:t>
      </w:r>
      <w:hyperlink r:id="rId28" w:history="1">
        <w:r w:rsidRPr="005C610C">
          <w:rPr>
            <w:rFonts w:eastAsia="Times New Roman" w:cstheme="minorHAnsi"/>
            <w:sz w:val="24"/>
            <w:szCs w:val="24"/>
          </w:rPr>
          <w:t>countervailing duty bond</w:t>
        </w:r>
      </w:hyperlink>
      <w:r w:rsidRPr="001D4DCE">
        <w:rPr>
          <w:rFonts w:eastAsia="Times New Roman" w:cstheme="minorHAnsi"/>
          <w:sz w:val="24"/>
          <w:szCs w:val="24"/>
        </w:rPr>
        <w:t>) investigation or finding.</w:t>
      </w:r>
    </w:p>
    <w:p w14:paraId="511D5734"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An importer normally obtains a single transaction bond from the </w:t>
      </w:r>
      <w:hyperlink r:id="rId29" w:history="1">
        <w:r w:rsidRPr="005C610C">
          <w:rPr>
            <w:rFonts w:eastAsia="Times New Roman" w:cstheme="minorHAnsi"/>
            <w:sz w:val="24"/>
            <w:szCs w:val="24"/>
          </w:rPr>
          <w:t>customs broker</w:t>
        </w:r>
      </w:hyperlink>
      <w:r w:rsidRPr="001D4DCE">
        <w:rPr>
          <w:rFonts w:eastAsia="Times New Roman" w:cstheme="minorHAnsi"/>
          <w:sz w:val="24"/>
          <w:szCs w:val="24"/>
        </w:rPr>
        <w:t> processing the customs entry</w:t>
      </w:r>
      <w:r w:rsidRPr="005C610C">
        <w:rPr>
          <w:rFonts w:eastAsia="Times New Roman" w:cstheme="minorHAnsi"/>
          <w:sz w:val="24"/>
          <w:szCs w:val="24"/>
        </w:rPr>
        <w:t>.</w:t>
      </w:r>
    </w:p>
    <w:p w14:paraId="6DA75010"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 xml:space="preserve">As an alternative to a single transaction bond, </w:t>
      </w:r>
      <w:r w:rsidRPr="001D4DCE">
        <w:rPr>
          <w:rFonts w:eastAsia="Times New Roman" w:cstheme="minorHAnsi"/>
          <w:b/>
          <w:sz w:val="24"/>
          <w:szCs w:val="24"/>
        </w:rPr>
        <w:t>a</w:t>
      </w:r>
      <w:r w:rsidR="001605E8" w:rsidRPr="001605E8">
        <w:rPr>
          <w:rFonts w:eastAsia="Times New Roman" w:cstheme="minorHAnsi"/>
          <w:b/>
          <w:sz w:val="24"/>
          <w:szCs w:val="24"/>
        </w:rPr>
        <w:t>n</w:t>
      </w:r>
      <w:r w:rsidRPr="001D4DCE">
        <w:rPr>
          <w:rFonts w:eastAsia="Times New Roman" w:cstheme="minorHAnsi"/>
          <w:b/>
          <w:sz w:val="24"/>
          <w:szCs w:val="24"/>
        </w:rPr>
        <w:t xml:space="preserve"> importer having more than approximately five formal customs entries per year will typically obtain a </w:t>
      </w:r>
      <w:hyperlink r:id="rId30" w:history="1">
        <w:r w:rsidRPr="001605E8">
          <w:rPr>
            <w:rFonts w:eastAsia="Times New Roman" w:cstheme="minorHAnsi"/>
            <w:b/>
            <w:sz w:val="24"/>
            <w:szCs w:val="24"/>
          </w:rPr>
          <w:t>continuous bond</w:t>
        </w:r>
      </w:hyperlink>
      <w:r w:rsidRPr="001D4DCE">
        <w:rPr>
          <w:rFonts w:eastAsia="Times New Roman" w:cstheme="minorHAnsi"/>
          <w:sz w:val="24"/>
          <w:szCs w:val="24"/>
        </w:rPr>
        <w:t> since the annual premium cost will be lower than obtaining separate single transaction bonds for each entry.</w:t>
      </w:r>
    </w:p>
    <w:p w14:paraId="46B75E6A" w14:textId="77777777" w:rsidR="00FB03FE" w:rsidRPr="005C610C" w:rsidRDefault="00FB03FE" w:rsidP="00FB03FE">
      <w:pPr>
        <w:pStyle w:val="Heading6"/>
        <w:rPr>
          <w:rFonts w:asciiTheme="minorHAnsi" w:hAnsiTheme="minorHAnsi" w:cstheme="minorHAnsi"/>
          <w:color w:val="auto"/>
          <w:sz w:val="24"/>
          <w:szCs w:val="24"/>
        </w:rPr>
      </w:pPr>
      <w:bookmarkStart w:id="6" w:name="56:e2698"/>
      <w:r w:rsidRPr="005C610C">
        <w:rPr>
          <w:rFonts w:asciiTheme="minorHAnsi" w:hAnsiTheme="minorHAnsi" w:cstheme="minorHAnsi"/>
          <w:color w:val="auto"/>
          <w:sz w:val="24"/>
          <w:szCs w:val="24"/>
        </w:rPr>
        <w:t>Bond Amounts for Single Entry Bond</w:t>
      </w:r>
      <w:bookmarkEnd w:id="6"/>
    </w:p>
    <w:p w14:paraId="03ADD1DE" w14:textId="77777777" w:rsidR="00FB03FE" w:rsidRPr="005C610C" w:rsidRDefault="00FB03FE" w:rsidP="00FB03FE">
      <w:pPr>
        <w:pStyle w:val="NormalWeb"/>
        <w:rPr>
          <w:rFonts w:asciiTheme="minorHAnsi" w:hAnsiTheme="minorHAnsi" w:cstheme="minorHAnsi"/>
        </w:rPr>
      </w:pPr>
      <w:r w:rsidRPr="005C610C">
        <w:rPr>
          <w:rFonts w:asciiTheme="minorHAnsi" w:hAnsiTheme="minorHAnsi" w:cstheme="minorHAnsi"/>
        </w:rPr>
        <w:t>To determine the correct bond amount, calculate the entered value of the goods and add applicable duties and fees. Fractional parts of a dollar are disregarded in computing the amount of a bond. The bond is always stated as the next highest dollar. Here are some examples of calculations for certain merchandise:</w:t>
      </w:r>
    </w:p>
    <w:p w14:paraId="3E58DE75" w14:textId="77777777" w:rsidR="00FB03FE" w:rsidRPr="005C610C" w:rsidRDefault="00FB03FE" w:rsidP="00FB03FE">
      <w:pPr>
        <w:numPr>
          <w:ilvl w:val="0"/>
          <w:numId w:val="6"/>
        </w:numPr>
        <w:spacing w:before="100" w:beforeAutospacing="1" w:after="100" w:afterAutospacing="1" w:line="240" w:lineRule="auto"/>
        <w:rPr>
          <w:rFonts w:cstheme="minorHAnsi"/>
          <w:sz w:val="24"/>
          <w:szCs w:val="24"/>
        </w:rPr>
      </w:pPr>
      <w:r w:rsidRPr="005C610C">
        <w:rPr>
          <w:rFonts w:cstheme="minorHAnsi"/>
          <w:sz w:val="24"/>
          <w:szCs w:val="24"/>
        </w:rPr>
        <w:t>General Merchandise - entered value plus any duties, taxes and/or fees that apply. This category includes </w:t>
      </w:r>
      <w:hyperlink r:id="rId31" w:history="1">
        <w:r w:rsidRPr="005C610C">
          <w:rPr>
            <w:rStyle w:val="Hyperlink"/>
            <w:rFonts w:cstheme="minorHAnsi"/>
            <w:color w:val="auto"/>
            <w:sz w:val="24"/>
            <w:szCs w:val="24"/>
            <w:u w:val="none"/>
          </w:rPr>
          <w:t>U.S. goods returned</w:t>
        </w:r>
      </w:hyperlink>
      <w:r w:rsidRPr="005C610C">
        <w:rPr>
          <w:rFonts w:cstheme="minorHAnsi"/>
          <w:sz w:val="24"/>
          <w:szCs w:val="24"/>
        </w:rPr>
        <w:t> (USGR), Preferential and Free Trade Agreements.</w:t>
      </w:r>
    </w:p>
    <w:p w14:paraId="725AF9CE" w14:textId="77777777" w:rsidR="00FB03FE" w:rsidRPr="005C610C" w:rsidRDefault="004C4BF5" w:rsidP="00FB03FE">
      <w:pPr>
        <w:numPr>
          <w:ilvl w:val="0"/>
          <w:numId w:val="6"/>
        </w:numPr>
        <w:spacing w:before="100" w:beforeAutospacing="1" w:after="100" w:afterAutospacing="1" w:line="240" w:lineRule="auto"/>
        <w:rPr>
          <w:rFonts w:cstheme="minorHAnsi"/>
          <w:sz w:val="24"/>
          <w:szCs w:val="24"/>
        </w:rPr>
      </w:pPr>
      <w:hyperlink r:id="rId32" w:history="1">
        <w:r w:rsidR="00FB03FE" w:rsidRPr="005C610C">
          <w:rPr>
            <w:rStyle w:val="Hyperlink"/>
            <w:rFonts w:cstheme="minorHAnsi"/>
            <w:color w:val="auto"/>
            <w:sz w:val="24"/>
            <w:szCs w:val="24"/>
            <w:u w:val="none"/>
          </w:rPr>
          <w:t>Antidumping</w:t>
        </w:r>
      </w:hyperlink>
      <w:r w:rsidR="00FB03FE" w:rsidRPr="005C610C">
        <w:rPr>
          <w:rFonts w:cstheme="minorHAnsi"/>
          <w:sz w:val="24"/>
          <w:szCs w:val="24"/>
        </w:rPr>
        <w:t> or </w:t>
      </w:r>
      <w:hyperlink r:id="rId33" w:history="1">
        <w:r w:rsidR="00FB03FE" w:rsidRPr="005C610C">
          <w:rPr>
            <w:rStyle w:val="Hyperlink"/>
            <w:rFonts w:cstheme="minorHAnsi"/>
            <w:color w:val="auto"/>
            <w:sz w:val="24"/>
            <w:szCs w:val="24"/>
            <w:u w:val="none"/>
          </w:rPr>
          <w:t>countervailing</w:t>
        </w:r>
      </w:hyperlink>
      <w:r w:rsidR="00FB03FE" w:rsidRPr="005C610C">
        <w:rPr>
          <w:rFonts w:cstheme="minorHAnsi"/>
          <w:sz w:val="24"/>
          <w:szCs w:val="24"/>
        </w:rPr>
        <w:t> (AD/CVD) duty – amount equal to the duties</w:t>
      </w:r>
    </w:p>
    <w:p w14:paraId="272E42BB" w14:textId="77777777" w:rsidR="00FB03FE" w:rsidRPr="005C610C" w:rsidRDefault="00FB03FE" w:rsidP="00FB03FE">
      <w:pPr>
        <w:numPr>
          <w:ilvl w:val="0"/>
          <w:numId w:val="6"/>
        </w:numPr>
        <w:spacing w:before="100" w:beforeAutospacing="1" w:after="100" w:afterAutospacing="1" w:line="240" w:lineRule="auto"/>
        <w:rPr>
          <w:rFonts w:cstheme="minorHAnsi"/>
          <w:sz w:val="24"/>
          <w:szCs w:val="24"/>
        </w:rPr>
      </w:pPr>
      <w:r w:rsidRPr="005C610C">
        <w:rPr>
          <w:rFonts w:cstheme="minorHAnsi"/>
          <w:sz w:val="24"/>
          <w:szCs w:val="24"/>
        </w:rPr>
        <w:t>Merchandise subject to </w:t>
      </w:r>
      <w:hyperlink r:id="rId34" w:history="1">
        <w:r w:rsidR="001E601D">
          <w:rPr>
            <w:rStyle w:val="Hyperlink"/>
            <w:rFonts w:cstheme="minorHAnsi"/>
            <w:color w:val="auto"/>
            <w:sz w:val="24"/>
            <w:szCs w:val="24"/>
            <w:u w:val="none"/>
          </w:rPr>
          <w:t>Partner</w:t>
        </w:r>
      </w:hyperlink>
      <w:r w:rsidR="001E601D">
        <w:rPr>
          <w:rFonts w:cstheme="minorHAnsi"/>
          <w:sz w:val="24"/>
          <w:szCs w:val="24"/>
        </w:rPr>
        <w:t xml:space="preserve"> Government Agencie</w:t>
      </w:r>
      <w:r w:rsidRPr="005C610C">
        <w:rPr>
          <w:rFonts w:cstheme="minorHAnsi"/>
          <w:sz w:val="24"/>
          <w:szCs w:val="24"/>
        </w:rPr>
        <w:t>s (PGAs) – </w:t>
      </w:r>
      <w:bookmarkStart w:id="7" w:name="56:r5853"/>
      <w:bookmarkEnd w:id="7"/>
      <w:r w:rsidRPr="005C610C">
        <w:rPr>
          <w:rFonts w:cstheme="minorHAnsi"/>
          <w:sz w:val="24"/>
          <w:szCs w:val="24"/>
        </w:rPr>
        <w:t>three times the entered value.</w:t>
      </w:r>
    </w:p>
    <w:p w14:paraId="34C2D32E" w14:textId="77777777" w:rsidR="00FB03FE" w:rsidRPr="005C610C" w:rsidRDefault="004C4BF5" w:rsidP="00FB03FE">
      <w:pPr>
        <w:numPr>
          <w:ilvl w:val="0"/>
          <w:numId w:val="6"/>
        </w:numPr>
        <w:spacing w:before="100" w:beforeAutospacing="1" w:after="100" w:afterAutospacing="1" w:line="240" w:lineRule="auto"/>
        <w:rPr>
          <w:rFonts w:cstheme="minorHAnsi"/>
          <w:sz w:val="24"/>
          <w:szCs w:val="24"/>
        </w:rPr>
      </w:pPr>
      <w:hyperlink r:id="rId35" w:history="1">
        <w:r w:rsidR="00FB03FE" w:rsidRPr="005C610C">
          <w:rPr>
            <w:rStyle w:val="Hyperlink"/>
            <w:rFonts w:cstheme="minorHAnsi"/>
            <w:color w:val="auto"/>
            <w:sz w:val="24"/>
            <w:szCs w:val="24"/>
            <w:u w:val="none"/>
          </w:rPr>
          <w:t>Quota</w:t>
        </w:r>
      </w:hyperlink>
      <w:r w:rsidR="00FB03FE" w:rsidRPr="005C610C">
        <w:rPr>
          <w:rFonts w:cstheme="minorHAnsi"/>
          <w:sz w:val="24"/>
          <w:szCs w:val="24"/>
        </w:rPr>
        <w:t> and/or </w:t>
      </w:r>
      <w:hyperlink r:id="rId36" w:history="1">
        <w:r w:rsidR="00FB03FE" w:rsidRPr="005C610C">
          <w:rPr>
            <w:rStyle w:val="Hyperlink"/>
            <w:rFonts w:cstheme="minorHAnsi"/>
            <w:color w:val="auto"/>
            <w:sz w:val="24"/>
            <w:szCs w:val="24"/>
            <w:u w:val="none"/>
          </w:rPr>
          <w:t>visa</w:t>
        </w:r>
      </w:hyperlink>
      <w:r w:rsidR="00FB03FE" w:rsidRPr="005C610C">
        <w:rPr>
          <w:rFonts w:cstheme="minorHAnsi"/>
          <w:sz w:val="24"/>
          <w:szCs w:val="24"/>
        </w:rPr>
        <w:t> merchandise – </w:t>
      </w:r>
      <w:bookmarkStart w:id="8" w:name="56:r5852"/>
      <w:bookmarkEnd w:id="8"/>
      <w:r w:rsidR="00FB03FE" w:rsidRPr="005C610C">
        <w:rPr>
          <w:rFonts w:cstheme="minorHAnsi"/>
          <w:sz w:val="24"/>
          <w:szCs w:val="24"/>
        </w:rPr>
        <w:t>amount three times the entered value</w:t>
      </w:r>
    </w:p>
    <w:p w14:paraId="312C5DFC" w14:textId="77777777" w:rsidR="00FB03FE" w:rsidRPr="005C610C" w:rsidRDefault="004C4BF5" w:rsidP="00FB03FE">
      <w:pPr>
        <w:numPr>
          <w:ilvl w:val="0"/>
          <w:numId w:val="6"/>
        </w:numPr>
        <w:spacing w:before="100" w:beforeAutospacing="1" w:after="100" w:afterAutospacing="1" w:line="240" w:lineRule="auto"/>
        <w:rPr>
          <w:rFonts w:cstheme="minorHAnsi"/>
          <w:sz w:val="24"/>
          <w:szCs w:val="24"/>
        </w:rPr>
      </w:pPr>
      <w:hyperlink r:id="rId37" w:history="1">
        <w:r w:rsidR="00FB03FE" w:rsidRPr="005C610C">
          <w:rPr>
            <w:rStyle w:val="Hyperlink"/>
            <w:rFonts w:cstheme="minorHAnsi"/>
            <w:color w:val="auto"/>
            <w:sz w:val="24"/>
            <w:szCs w:val="24"/>
            <w:u w:val="none"/>
          </w:rPr>
          <w:t>Temporary Importation Bond</w:t>
        </w:r>
      </w:hyperlink>
      <w:r w:rsidR="00FB03FE" w:rsidRPr="005C610C">
        <w:rPr>
          <w:rFonts w:cstheme="minorHAnsi"/>
          <w:sz w:val="24"/>
          <w:szCs w:val="24"/>
        </w:rPr>
        <w:t> – 110% or 200% of estimated duties, dependent on TIB type</w:t>
      </w:r>
    </w:p>
    <w:p w14:paraId="0E1E50F6" w14:textId="77777777" w:rsidR="00FB03FE" w:rsidRPr="005C610C" w:rsidRDefault="00FB03FE" w:rsidP="00FB03FE">
      <w:pPr>
        <w:numPr>
          <w:ilvl w:val="0"/>
          <w:numId w:val="6"/>
        </w:numPr>
        <w:spacing w:before="100" w:beforeAutospacing="1" w:after="100" w:afterAutospacing="1" w:line="240" w:lineRule="auto"/>
        <w:rPr>
          <w:rFonts w:cstheme="minorHAnsi"/>
          <w:sz w:val="24"/>
          <w:szCs w:val="24"/>
        </w:rPr>
      </w:pPr>
      <w:r w:rsidRPr="005C610C">
        <w:rPr>
          <w:rFonts w:cstheme="minorHAnsi"/>
          <w:sz w:val="24"/>
          <w:szCs w:val="24"/>
        </w:rPr>
        <w:t>Unconditionally free merchandise – not governed by any </w:t>
      </w:r>
      <w:hyperlink r:id="rId38" w:history="1">
        <w:r w:rsidRPr="005C610C">
          <w:rPr>
            <w:rStyle w:val="Hyperlink"/>
            <w:rFonts w:cstheme="minorHAnsi"/>
            <w:color w:val="auto"/>
            <w:sz w:val="24"/>
            <w:szCs w:val="24"/>
            <w:u w:val="none"/>
          </w:rPr>
          <w:t>PGA</w:t>
        </w:r>
      </w:hyperlink>
      <w:r w:rsidRPr="005C610C">
        <w:rPr>
          <w:rFonts w:cstheme="minorHAnsi"/>
          <w:sz w:val="24"/>
          <w:szCs w:val="24"/>
        </w:rPr>
        <w:t>, but the district director may allow the bond to be set at 10% of the entered value</w:t>
      </w:r>
    </w:p>
    <w:p w14:paraId="3C149AA0" w14:textId="77777777" w:rsidR="001D4DCE" w:rsidRPr="001E601D" w:rsidRDefault="00FB03FE" w:rsidP="001E601D">
      <w:pPr>
        <w:numPr>
          <w:ilvl w:val="0"/>
          <w:numId w:val="6"/>
        </w:numPr>
        <w:spacing w:before="100" w:beforeAutospacing="1" w:after="100" w:afterAutospacing="1" w:line="240" w:lineRule="auto"/>
        <w:rPr>
          <w:rFonts w:cstheme="minorHAnsi"/>
          <w:sz w:val="24"/>
          <w:szCs w:val="24"/>
        </w:rPr>
      </w:pPr>
      <w:r w:rsidRPr="005C610C">
        <w:rPr>
          <w:rFonts w:cstheme="minorHAnsi"/>
          <w:sz w:val="24"/>
          <w:szCs w:val="24"/>
        </w:rPr>
        <w:t>Warehouse – two times the duties, taxes and/or fees that apply</w:t>
      </w:r>
    </w:p>
    <w:p w14:paraId="7D7CBADF" w14:textId="77777777" w:rsidR="001D4DCE" w:rsidRPr="001D4DCE" w:rsidRDefault="001605E8" w:rsidP="001D4DCE">
      <w:pPr>
        <w:shd w:val="clear" w:color="auto" w:fill="FFFFFF"/>
        <w:spacing w:after="0" w:line="240" w:lineRule="auto"/>
        <w:rPr>
          <w:rFonts w:eastAsia="Times New Roman" w:cstheme="minorHAnsi"/>
          <w:b/>
          <w:sz w:val="24"/>
          <w:szCs w:val="24"/>
        </w:rPr>
      </w:pPr>
      <w:r w:rsidRPr="001605E8">
        <w:rPr>
          <w:rFonts w:eastAsia="Times New Roman" w:cstheme="minorHAnsi"/>
          <w:b/>
          <w:sz w:val="24"/>
          <w:szCs w:val="24"/>
        </w:rPr>
        <w:t>Continuous Bond (CTB)</w:t>
      </w:r>
    </w:p>
    <w:p w14:paraId="3519F98B" w14:textId="77777777" w:rsidR="001D4DCE" w:rsidRPr="001D4DCE" w:rsidRDefault="001D4DCE" w:rsidP="001D4DCE">
      <w:pPr>
        <w:shd w:val="clear" w:color="auto" w:fill="FFFFFF"/>
        <w:spacing w:after="0" w:line="240" w:lineRule="auto"/>
        <w:ind w:left="720"/>
        <w:rPr>
          <w:rFonts w:eastAsia="Times New Roman" w:cstheme="minorHAnsi"/>
          <w:sz w:val="24"/>
          <w:szCs w:val="24"/>
        </w:rPr>
      </w:pPr>
      <w:r w:rsidRPr="001D4DCE">
        <w:rPr>
          <w:rFonts w:eastAsia="Times New Roman" w:cstheme="minorHAnsi"/>
          <w:sz w:val="24"/>
          <w:szCs w:val="24"/>
        </w:rPr>
        <w:t>This is a type of </w:t>
      </w:r>
      <w:hyperlink r:id="rId39" w:history="1">
        <w:r w:rsidRPr="005C610C">
          <w:rPr>
            <w:rFonts w:eastAsia="Times New Roman" w:cstheme="minorHAnsi"/>
            <w:sz w:val="24"/>
            <w:szCs w:val="24"/>
          </w:rPr>
          <w:t>surety bond</w:t>
        </w:r>
      </w:hyperlink>
      <w:r w:rsidRPr="001D4DCE">
        <w:rPr>
          <w:rFonts w:eastAsia="Times New Roman" w:cstheme="minorHAnsi"/>
          <w:sz w:val="24"/>
          <w:szCs w:val="24"/>
        </w:rPr>
        <w:t> which</w:t>
      </w:r>
      <w:r w:rsidR="001E601D">
        <w:rPr>
          <w:rFonts w:eastAsia="Times New Roman" w:cstheme="minorHAnsi"/>
          <w:sz w:val="24"/>
          <w:szCs w:val="24"/>
        </w:rPr>
        <w:t xml:space="preserve"> </w:t>
      </w:r>
      <w:r w:rsidRPr="001D4DCE">
        <w:rPr>
          <w:rFonts w:eastAsia="Times New Roman" w:cstheme="minorHAnsi"/>
          <w:sz w:val="24"/>
          <w:szCs w:val="24"/>
        </w:rPr>
        <w:t>an </w:t>
      </w:r>
      <w:hyperlink r:id="rId40" w:history="1">
        <w:r w:rsidRPr="005C610C">
          <w:rPr>
            <w:rFonts w:eastAsia="Times New Roman" w:cstheme="minorHAnsi"/>
            <w:sz w:val="24"/>
            <w:szCs w:val="24"/>
          </w:rPr>
          <w:t>importer</w:t>
        </w:r>
      </w:hyperlink>
      <w:r w:rsidRPr="001D4DCE">
        <w:rPr>
          <w:rFonts w:eastAsia="Times New Roman" w:cstheme="minorHAnsi"/>
          <w:sz w:val="24"/>
          <w:szCs w:val="24"/>
        </w:rPr>
        <w:t>, </w:t>
      </w:r>
      <w:hyperlink r:id="rId41" w:history="1">
        <w:r w:rsidRPr="005C610C">
          <w:rPr>
            <w:rFonts w:eastAsia="Times New Roman" w:cstheme="minorHAnsi"/>
            <w:sz w:val="24"/>
            <w:szCs w:val="24"/>
          </w:rPr>
          <w:t>transportation</w:t>
        </w:r>
        <w:r w:rsidR="001E601D">
          <w:rPr>
            <w:rFonts w:eastAsia="Times New Roman" w:cstheme="minorHAnsi"/>
            <w:sz w:val="24"/>
            <w:szCs w:val="24"/>
          </w:rPr>
          <w:t xml:space="preserve"> </w:t>
        </w:r>
        <w:r w:rsidRPr="005C610C">
          <w:rPr>
            <w:rFonts w:eastAsia="Times New Roman" w:cstheme="minorHAnsi"/>
            <w:sz w:val="24"/>
            <w:szCs w:val="24"/>
          </w:rPr>
          <w:t>carrier</w:t>
        </w:r>
      </w:hyperlink>
      <w:r w:rsidRPr="001D4DCE">
        <w:rPr>
          <w:rFonts w:eastAsia="Times New Roman" w:cstheme="minorHAnsi"/>
          <w:sz w:val="24"/>
          <w:szCs w:val="24"/>
        </w:rPr>
        <w:t>, </w:t>
      </w:r>
      <w:hyperlink r:id="rId42" w:history="1">
        <w:r w:rsidRPr="005C610C">
          <w:rPr>
            <w:rFonts w:eastAsia="Times New Roman" w:cstheme="minorHAnsi"/>
            <w:sz w:val="24"/>
            <w:szCs w:val="24"/>
          </w:rPr>
          <w:t>CFS</w:t>
        </w:r>
      </w:hyperlink>
      <w:r w:rsidRPr="001D4DCE">
        <w:rPr>
          <w:rFonts w:eastAsia="Times New Roman" w:cstheme="minorHAnsi"/>
          <w:sz w:val="24"/>
          <w:szCs w:val="24"/>
        </w:rPr>
        <w:t> and/or </w:t>
      </w:r>
      <w:hyperlink r:id="rId43" w:history="1">
        <w:r w:rsidRPr="005C610C">
          <w:rPr>
            <w:rFonts w:eastAsia="Times New Roman" w:cstheme="minorHAnsi"/>
            <w:sz w:val="24"/>
            <w:szCs w:val="24"/>
          </w:rPr>
          <w:t>bonded warehouse</w:t>
        </w:r>
      </w:hyperlink>
      <w:r w:rsidRPr="001D4DCE">
        <w:rPr>
          <w:rFonts w:eastAsia="Times New Roman" w:cstheme="minorHAnsi"/>
          <w:sz w:val="24"/>
          <w:szCs w:val="24"/>
        </w:rPr>
        <w:t> operator (as bond "</w:t>
      </w:r>
      <w:hyperlink r:id="rId44" w:history="1">
        <w:r w:rsidRPr="005C610C">
          <w:rPr>
            <w:rFonts w:eastAsia="Times New Roman" w:cstheme="minorHAnsi"/>
            <w:sz w:val="24"/>
            <w:szCs w:val="24"/>
          </w:rPr>
          <w:t>principal</w:t>
        </w:r>
      </w:hyperlink>
      <w:r w:rsidRPr="001D4DCE">
        <w:rPr>
          <w:rFonts w:eastAsia="Times New Roman" w:cstheme="minorHAnsi"/>
          <w:sz w:val="24"/>
          <w:szCs w:val="24"/>
        </w:rPr>
        <w:t>") may obtain from a CBP-approved </w:t>
      </w:r>
      <w:hyperlink r:id="rId45" w:history="1">
        <w:r w:rsidRPr="005C610C">
          <w:rPr>
            <w:rFonts w:eastAsia="Times New Roman" w:cstheme="minorHAnsi"/>
            <w:sz w:val="24"/>
            <w:szCs w:val="24"/>
          </w:rPr>
          <w:t>surety</w:t>
        </w:r>
      </w:hyperlink>
      <w:r w:rsidRPr="001D4DCE">
        <w:rPr>
          <w:rFonts w:eastAsia="Times New Roman" w:cstheme="minorHAnsi"/>
          <w:sz w:val="24"/>
          <w:szCs w:val="24"/>
        </w:rPr>
        <w:t> in order to process a </w:t>
      </w:r>
      <w:hyperlink r:id="rId46" w:history="1">
        <w:r w:rsidRPr="005C610C">
          <w:rPr>
            <w:rFonts w:eastAsia="Times New Roman" w:cstheme="minorHAnsi"/>
            <w:sz w:val="24"/>
            <w:szCs w:val="24"/>
          </w:rPr>
          <w:t>customs formal entry</w:t>
        </w:r>
      </w:hyperlink>
      <w:r w:rsidRPr="001D4DCE">
        <w:rPr>
          <w:rFonts w:eastAsia="Times New Roman" w:cstheme="minorHAnsi"/>
          <w:sz w:val="24"/>
          <w:szCs w:val="24"/>
        </w:rPr>
        <w:t> or other customs transaction or business for which a </w:t>
      </w:r>
      <w:hyperlink r:id="rId47" w:history="1">
        <w:r w:rsidRPr="005C610C">
          <w:rPr>
            <w:rFonts w:eastAsia="Times New Roman" w:cstheme="minorHAnsi"/>
            <w:sz w:val="24"/>
            <w:szCs w:val="24"/>
          </w:rPr>
          <w:t>customs bond</w:t>
        </w:r>
      </w:hyperlink>
      <w:r w:rsidRPr="001D4DCE">
        <w:rPr>
          <w:rFonts w:eastAsia="Times New Roman" w:cstheme="minorHAnsi"/>
          <w:sz w:val="24"/>
          <w:szCs w:val="24"/>
        </w:rPr>
        <w:t> is required, including </w:t>
      </w:r>
      <w:hyperlink r:id="rId48" w:history="1">
        <w:r w:rsidRPr="005C610C">
          <w:rPr>
            <w:rFonts w:eastAsia="Times New Roman" w:cstheme="minorHAnsi"/>
            <w:sz w:val="24"/>
            <w:szCs w:val="24"/>
          </w:rPr>
          <w:t>transportation under bond</w:t>
        </w:r>
      </w:hyperlink>
      <w:r w:rsidRPr="001D4DCE">
        <w:rPr>
          <w:rFonts w:eastAsia="Times New Roman" w:cstheme="minorHAnsi"/>
          <w:sz w:val="24"/>
          <w:szCs w:val="24"/>
        </w:rPr>
        <w:t> and bonded warehousing.</w:t>
      </w:r>
    </w:p>
    <w:p w14:paraId="40871F24"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A </w:t>
      </w:r>
      <w:r w:rsidRPr="001D4DCE">
        <w:rPr>
          <w:rFonts w:eastAsia="Times New Roman" w:cstheme="minorHAnsi"/>
          <w:i/>
          <w:iCs/>
          <w:sz w:val="24"/>
          <w:szCs w:val="24"/>
        </w:rPr>
        <w:t>continuous</w:t>
      </w:r>
      <w:r w:rsidRPr="001D4DCE">
        <w:rPr>
          <w:rFonts w:eastAsia="Times New Roman" w:cstheme="minorHAnsi"/>
          <w:sz w:val="24"/>
          <w:szCs w:val="24"/>
        </w:rPr>
        <w:t> bond differs from a </w:t>
      </w:r>
      <w:hyperlink r:id="rId49" w:history="1">
        <w:r w:rsidRPr="005C610C">
          <w:rPr>
            <w:rFonts w:eastAsia="Times New Roman" w:cstheme="minorHAnsi"/>
            <w:sz w:val="24"/>
            <w:szCs w:val="24"/>
          </w:rPr>
          <w:t>single transaction bond</w:t>
        </w:r>
      </w:hyperlink>
      <w:r w:rsidRPr="001D4DCE">
        <w:rPr>
          <w:rFonts w:eastAsia="Times New Roman" w:cstheme="minorHAnsi"/>
          <w:sz w:val="24"/>
          <w:szCs w:val="24"/>
        </w:rPr>
        <w:t> in that it remains in effect for an indefinite period of time, until either it is cancelled by either the issuing surety or the </w:t>
      </w:r>
      <w:hyperlink r:id="rId50" w:history="1">
        <w:r w:rsidRPr="005C610C">
          <w:rPr>
            <w:rFonts w:eastAsia="Times New Roman" w:cstheme="minorHAnsi"/>
            <w:sz w:val="24"/>
            <w:szCs w:val="24"/>
          </w:rPr>
          <w:t>principal</w:t>
        </w:r>
      </w:hyperlink>
      <w:r w:rsidRPr="001D4DCE">
        <w:rPr>
          <w:rFonts w:eastAsia="Times New Roman" w:cstheme="minorHAnsi"/>
          <w:sz w:val="24"/>
          <w:szCs w:val="24"/>
        </w:rPr>
        <w:t> (</w:t>
      </w:r>
      <w:r w:rsidRPr="001D4DCE">
        <w:rPr>
          <w:rFonts w:eastAsia="Times New Roman" w:cstheme="minorHAnsi"/>
          <w:i/>
          <w:iCs/>
          <w:sz w:val="24"/>
          <w:szCs w:val="24"/>
        </w:rPr>
        <w:t>i.e.</w:t>
      </w:r>
      <w:r w:rsidRPr="001D4DCE">
        <w:rPr>
          <w:rFonts w:eastAsia="Times New Roman" w:cstheme="minorHAnsi"/>
          <w:sz w:val="24"/>
          <w:szCs w:val="24"/>
        </w:rPr>
        <w:t>, importer, carrier, CFS, warehouse, etc.). It may be used with </w:t>
      </w:r>
      <w:r w:rsidRPr="001D4DCE">
        <w:rPr>
          <w:rFonts w:eastAsia="Times New Roman" w:cstheme="minorHAnsi"/>
          <w:i/>
          <w:iCs/>
          <w:sz w:val="24"/>
          <w:szCs w:val="24"/>
        </w:rPr>
        <w:t>all</w:t>
      </w:r>
      <w:r w:rsidRPr="001D4DCE">
        <w:rPr>
          <w:rFonts w:eastAsia="Times New Roman" w:cstheme="minorHAnsi"/>
          <w:sz w:val="24"/>
          <w:szCs w:val="24"/>
        </w:rPr>
        <w:t> the principal's customs transactions for which a bond is required during the period it is in effect unless CBP calls for an increase in the bond amount or other change in bond conditions. This can typically be accomplished either via electronic filing by the surety to the </w:t>
      </w:r>
      <w:hyperlink r:id="rId51" w:history="1">
        <w:r w:rsidRPr="005C610C">
          <w:rPr>
            <w:rFonts w:eastAsia="Times New Roman" w:cstheme="minorHAnsi"/>
            <w:sz w:val="24"/>
            <w:szCs w:val="24"/>
          </w:rPr>
          <w:t>ACE</w:t>
        </w:r>
      </w:hyperlink>
      <w:r w:rsidRPr="001D4DCE">
        <w:rPr>
          <w:rFonts w:eastAsia="Times New Roman" w:cstheme="minorHAnsi"/>
          <w:sz w:val="24"/>
          <w:szCs w:val="24"/>
        </w:rPr>
        <w:t> system, as in the case of an increase in bond amount</w:t>
      </w:r>
      <w:r w:rsidR="001E601D">
        <w:rPr>
          <w:rFonts w:eastAsia="Times New Roman" w:cstheme="minorHAnsi"/>
          <w:sz w:val="24"/>
          <w:szCs w:val="24"/>
        </w:rPr>
        <w:t>.</w:t>
      </w:r>
    </w:p>
    <w:p w14:paraId="1AC27329"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lastRenderedPageBreak/>
        <w:t>Once posted to the ACE system, a continuous bond can be used for customs entries and other customs transaction</w:t>
      </w:r>
      <w:r w:rsidR="001E601D">
        <w:rPr>
          <w:rFonts w:eastAsia="Times New Roman" w:cstheme="minorHAnsi"/>
          <w:sz w:val="24"/>
          <w:szCs w:val="24"/>
        </w:rPr>
        <w:t>s</w:t>
      </w:r>
      <w:r w:rsidRPr="001D4DCE">
        <w:rPr>
          <w:rFonts w:eastAsia="Times New Roman" w:cstheme="minorHAnsi"/>
          <w:sz w:val="24"/>
          <w:szCs w:val="24"/>
        </w:rPr>
        <w:t xml:space="preserve"> made in the name of the bond principal (importer, carrier, etc.) on a national basis. In the case of an importer, the bond may be used for entries filed by any number of customs brokers which the importer authorizes.</w:t>
      </w:r>
    </w:p>
    <w:p w14:paraId="30C89F85"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Prior to the initial filing of a continuous bond by an </w:t>
      </w:r>
      <w:r w:rsidRPr="001D4DCE">
        <w:rPr>
          <w:rFonts w:eastAsia="Times New Roman" w:cstheme="minorHAnsi"/>
          <w:i/>
          <w:iCs/>
          <w:sz w:val="24"/>
          <w:szCs w:val="24"/>
        </w:rPr>
        <w:t>importer</w:t>
      </w:r>
      <w:r w:rsidRPr="001D4DCE">
        <w:rPr>
          <w:rFonts w:eastAsia="Times New Roman" w:cstheme="minorHAnsi"/>
          <w:sz w:val="24"/>
          <w:szCs w:val="24"/>
        </w:rPr>
        <w:t>, the importer or his agent (typically a </w:t>
      </w:r>
      <w:hyperlink r:id="rId52" w:history="1">
        <w:r w:rsidRPr="005C610C">
          <w:rPr>
            <w:rFonts w:eastAsia="Times New Roman" w:cstheme="minorHAnsi"/>
            <w:sz w:val="24"/>
            <w:szCs w:val="24"/>
          </w:rPr>
          <w:t>customs broker</w:t>
        </w:r>
      </w:hyperlink>
      <w:r w:rsidRPr="001D4DCE">
        <w:rPr>
          <w:rFonts w:eastAsia="Times New Roman" w:cstheme="minorHAnsi"/>
          <w:sz w:val="24"/>
          <w:szCs w:val="24"/>
        </w:rPr>
        <w:t>) must provide CBP with an application providing importer information, the type of goods to be imported, special import circumstances such as </w:t>
      </w:r>
      <w:hyperlink r:id="rId53" w:history="1">
        <w:r w:rsidRPr="005C610C">
          <w:rPr>
            <w:rFonts w:eastAsia="Times New Roman" w:cstheme="minorHAnsi"/>
            <w:sz w:val="24"/>
            <w:szCs w:val="24"/>
          </w:rPr>
          <w:t>quota</w:t>
        </w:r>
      </w:hyperlink>
      <w:r w:rsidRPr="001D4DCE">
        <w:rPr>
          <w:rFonts w:eastAsia="Times New Roman" w:cstheme="minorHAnsi"/>
          <w:sz w:val="24"/>
          <w:szCs w:val="24"/>
        </w:rPr>
        <w:t> merchandise, </w:t>
      </w:r>
      <w:hyperlink r:id="rId54" w:history="1">
        <w:r w:rsidRPr="005C610C">
          <w:rPr>
            <w:rFonts w:eastAsia="Times New Roman" w:cstheme="minorHAnsi"/>
            <w:sz w:val="24"/>
            <w:szCs w:val="24"/>
          </w:rPr>
          <w:t>countervailing duty</w:t>
        </w:r>
      </w:hyperlink>
      <w:r w:rsidRPr="001D4DCE">
        <w:rPr>
          <w:rFonts w:eastAsia="Times New Roman" w:cstheme="minorHAnsi"/>
          <w:sz w:val="24"/>
          <w:szCs w:val="24"/>
        </w:rPr>
        <w:t> and/or anti-dumping duty, with the prior year's annual total </w:t>
      </w:r>
      <w:hyperlink r:id="rId55" w:history="1">
        <w:r w:rsidRPr="005C610C">
          <w:rPr>
            <w:rFonts w:eastAsia="Times New Roman" w:cstheme="minorHAnsi"/>
            <w:sz w:val="24"/>
            <w:szCs w:val="24"/>
          </w:rPr>
          <w:t>customs entered value</w:t>
        </w:r>
      </w:hyperlink>
      <w:r w:rsidRPr="001D4DCE">
        <w:rPr>
          <w:rFonts w:eastAsia="Times New Roman" w:cstheme="minorHAnsi"/>
          <w:sz w:val="24"/>
          <w:szCs w:val="24"/>
        </w:rPr>
        <w:t> and </w:t>
      </w:r>
      <w:hyperlink r:id="rId56" w:history="1">
        <w:r w:rsidRPr="005C610C">
          <w:rPr>
            <w:rFonts w:eastAsia="Times New Roman" w:cstheme="minorHAnsi"/>
            <w:sz w:val="24"/>
            <w:szCs w:val="24"/>
          </w:rPr>
          <w:t>customs duty</w:t>
        </w:r>
      </w:hyperlink>
      <w:r w:rsidRPr="001D4DCE">
        <w:rPr>
          <w:rFonts w:eastAsia="Times New Roman" w:cstheme="minorHAnsi"/>
          <w:sz w:val="24"/>
          <w:szCs w:val="24"/>
        </w:rPr>
        <w:t> and IRS tax paid. For new importers, the projected first year information must be provided.</w:t>
      </w:r>
    </w:p>
    <w:p w14:paraId="1B9C90ED"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Upon receipt of the application, CBP will then set the required bond amount. For most importers (</w:t>
      </w:r>
      <w:r w:rsidRPr="001D4DCE">
        <w:rPr>
          <w:rFonts w:eastAsia="Times New Roman" w:cstheme="minorHAnsi"/>
          <w:i/>
          <w:iCs/>
          <w:sz w:val="24"/>
          <w:szCs w:val="24"/>
        </w:rPr>
        <w:t>i.e.</w:t>
      </w:r>
      <w:r w:rsidRPr="001D4DCE">
        <w:rPr>
          <w:rFonts w:eastAsia="Times New Roman" w:cstheme="minorHAnsi"/>
          <w:sz w:val="24"/>
          <w:szCs w:val="24"/>
        </w:rPr>
        <w:t>, those judged to be low risk, and not having </w:t>
      </w:r>
      <w:hyperlink r:id="rId57" w:history="1">
        <w:r w:rsidRPr="005C610C">
          <w:rPr>
            <w:rFonts w:eastAsia="Times New Roman" w:cstheme="minorHAnsi"/>
            <w:sz w:val="24"/>
            <w:szCs w:val="24"/>
          </w:rPr>
          <w:t>quota</w:t>
        </w:r>
      </w:hyperlink>
      <w:r w:rsidRPr="001D4DCE">
        <w:rPr>
          <w:rFonts w:eastAsia="Times New Roman" w:cstheme="minorHAnsi"/>
          <w:sz w:val="24"/>
          <w:szCs w:val="24"/>
        </w:rPr>
        <w:t> merchandise, and not facing </w:t>
      </w:r>
      <w:hyperlink r:id="rId58" w:history="1">
        <w:r w:rsidRPr="005C610C">
          <w:rPr>
            <w:rFonts w:eastAsia="Times New Roman" w:cstheme="minorHAnsi"/>
            <w:sz w:val="24"/>
            <w:szCs w:val="24"/>
          </w:rPr>
          <w:t>countervailing duty</w:t>
        </w:r>
      </w:hyperlink>
      <w:r w:rsidRPr="001D4DCE">
        <w:rPr>
          <w:rFonts w:eastAsia="Times New Roman" w:cstheme="minorHAnsi"/>
          <w:sz w:val="24"/>
          <w:szCs w:val="24"/>
        </w:rPr>
        <w:t> or </w:t>
      </w:r>
      <w:hyperlink r:id="rId59" w:history="1">
        <w:r w:rsidRPr="005C610C">
          <w:rPr>
            <w:rFonts w:eastAsia="Times New Roman" w:cstheme="minorHAnsi"/>
            <w:sz w:val="24"/>
            <w:szCs w:val="24"/>
          </w:rPr>
          <w:t>anti-dumping duty</w:t>
        </w:r>
      </w:hyperlink>
      <w:r w:rsidRPr="001D4DCE">
        <w:rPr>
          <w:rFonts w:eastAsia="Times New Roman" w:cstheme="minorHAnsi"/>
          <w:sz w:val="24"/>
          <w:szCs w:val="24"/>
        </w:rPr>
        <w:t>), this will be approximately 10% of the estimated annual </w:t>
      </w:r>
      <w:hyperlink r:id="rId60" w:history="1">
        <w:r w:rsidRPr="005C610C">
          <w:rPr>
            <w:rFonts w:eastAsia="Times New Roman" w:cstheme="minorHAnsi"/>
            <w:sz w:val="24"/>
            <w:szCs w:val="24"/>
          </w:rPr>
          <w:t>customs duty</w:t>
        </w:r>
      </w:hyperlink>
      <w:r w:rsidRPr="001D4DCE">
        <w:rPr>
          <w:rFonts w:eastAsia="Times New Roman" w:cstheme="minorHAnsi"/>
          <w:sz w:val="24"/>
          <w:szCs w:val="24"/>
        </w:rPr>
        <w:t> + IRS tax due based on the prior's years importations.</w:t>
      </w:r>
    </w:p>
    <w:p w14:paraId="6070A53E"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A continuous bond premium is paid once each year, though it may be subject to an added premium payment if the bond amount or an additional rider is required during the annual period.</w:t>
      </w:r>
    </w:p>
    <w:p w14:paraId="5C8030DC" w14:textId="77777777" w:rsidR="001D4DC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An importer normally obtains a continuous bond from the </w:t>
      </w:r>
      <w:hyperlink r:id="rId61" w:history="1">
        <w:r w:rsidRPr="005C610C">
          <w:rPr>
            <w:rFonts w:eastAsia="Times New Roman" w:cstheme="minorHAnsi"/>
            <w:sz w:val="24"/>
            <w:szCs w:val="24"/>
          </w:rPr>
          <w:t>customs broker</w:t>
        </w:r>
      </w:hyperlink>
      <w:r w:rsidRPr="001D4DCE">
        <w:rPr>
          <w:rFonts w:eastAsia="Times New Roman" w:cstheme="minorHAnsi"/>
          <w:sz w:val="24"/>
          <w:szCs w:val="24"/>
        </w:rPr>
        <w:t> processing the customs entry, though one may also be obtained from a specialized insurance broker.</w:t>
      </w:r>
    </w:p>
    <w:p w14:paraId="3CDF52FF" w14:textId="77777777" w:rsidR="00FB03FE" w:rsidRPr="001D4DCE" w:rsidRDefault="001D4DCE" w:rsidP="001D4DCE">
      <w:pPr>
        <w:shd w:val="clear" w:color="auto" w:fill="FFFFFF"/>
        <w:spacing w:before="100" w:beforeAutospacing="1" w:after="100" w:afterAutospacing="1" w:line="240" w:lineRule="auto"/>
        <w:ind w:left="720"/>
        <w:rPr>
          <w:rFonts w:eastAsia="Times New Roman" w:cstheme="minorHAnsi"/>
          <w:sz w:val="24"/>
          <w:szCs w:val="24"/>
        </w:rPr>
      </w:pPr>
      <w:r w:rsidRPr="001D4DCE">
        <w:rPr>
          <w:rFonts w:eastAsia="Times New Roman" w:cstheme="minorHAnsi"/>
          <w:sz w:val="24"/>
          <w:szCs w:val="24"/>
        </w:rPr>
        <w:t xml:space="preserve">An importer with more than a few importations per year will probably find the premium on a continuous bond to be less than the total premium otherwise payable for a single transaction bond for each shipment. </w:t>
      </w:r>
      <w:r w:rsidR="00FB03FE" w:rsidRPr="005C610C">
        <w:rPr>
          <w:rFonts w:cstheme="minorHAnsi"/>
          <w:color w:val="000000"/>
          <w:sz w:val="24"/>
          <w:szCs w:val="24"/>
          <w:shd w:val="clear" w:color="auto" w:fill="FFFFFF"/>
        </w:rPr>
        <w:t xml:space="preserve">Since the premium is paid once a year, some customs brokers will handle continuous bond filing at a centrally located facility. This way, one department can handle the yearly billing and follow-up. The same department will usually keep </w:t>
      </w:r>
      <w:r w:rsidR="00FB03FE" w:rsidRPr="005C610C">
        <w:rPr>
          <w:rFonts w:cstheme="minorHAnsi"/>
          <w:sz w:val="24"/>
          <w:szCs w:val="24"/>
          <w:shd w:val="clear" w:color="auto" w:fill="FFFFFF"/>
        </w:rPr>
        <w:t>the </w:t>
      </w:r>
      <w:hyperlink r:id="rId62" w:history="1">
        <w:r w:rsidR="00FB03FE" w:rsidRPr="005C610C">
          <w:rPr>
            <w:rStyle w:val="Hyperlink"/>
            <w:rFonts w:cstheme="minorHAnsi"/>
            <w:color w:val="auto"/>
            <w:sz w:val="24"/>
            <w:szCs w:val="24"/>
            <w:u w:val="none"/>
            <w:shd w:val="clear" w:color="auto" w:fill="FFFFFF"/>
          </w:rPr>
          <w:t>ABI filer</w:t>
        </w:r>
      </w:hyperlink>
      <w:r w:rsidR="00FB03FE" w:rsidRPr="005C610C">
        <w:rPr>
          <w:rFonts w:cstheme="minorHAnsi"/>
          <w:sz w:val="24"/>
          <w:szCs w:val="24"/>
          <w:shd w:val="clear" w:color="auto" w:fill="FFFFFF"/>
        </w:rPr>
        <w:t>'s computer system database updated with the importer, power of attorney, and bond information for use in filing the release and entry summaries.</w:t>
      </w:r>
    </w:p>
    <w:p w14:paraId="5E7FC9C4" w14:textId="77777777" w:rsidR="001D4DCE" w:rsidRPr="005C610C" w:rsidRDefault="001D4DCE" w:rsidP="001D4DCE">
      <w:pPr>
        <w:pStyle w:val="Heading5"/>
        <w:rPr>
          <w:rFonts w:asciiTheme="minorHAnsi" w:hAnsiTheme="minorHAnsi" w:cstheme="minorHAnsi"/>
          <w:sz w:val="24"/>
          <w:szCs w:val="24"/>
        </w:rPr>
      </w:pPr>
      <w:bookmarkStart w:id="9" w:name="56:q3917"/>
      <w:r w:rsidRPr="005C610C">
        <w:rPr>
          <w:rFonts w:asciiTheme="minorHAnsi" w:hAnsiTheme="minorHAnsi" w:cstheme="minorHAnsi"/>
          <w:sz w:val="24"/>
          <w:szCs w:val="24"/>
        </w:rPr>
        <w:t>Customs Bond Purpose and Parties</w:t>
      </w:r>
      <w:bookmarkEnd w:id="9"/>
    </w:p>
    <w:p w14:paraId="676C48D4" w14:textId="77777777" w:rsidR="001D4DCE" w:rsidRPr="005C610C" w:rsidRDefault="001D4DCE" w:rsidP="001D4DCE">
      <w:pPr>
        <w:pStyle w:val="NormalWeb"/>
        <w:rPr>
          <w:rFonts w:asciiTheme="minorHAnsi" w:hAnsiTheme="minorHAnsi" w:cstheme="minorHAnsi"/>
        </w:rPr>
      </w:pPr>
      <w:r w:rsidRPr="005C610C">
        <w:rPr>
          <w:rFonts w:asciiTheme="minorHAnsi" w:hAnsiTheme="minorHAnsi" w:cstheme="minorHAnsi"/>
        </w:rPr>
        <w:t>A </w:t>
      </w:r>
      <w:hyperlink r:id="rId63" w:history="1">
        <w:r w:rsidRPr="005C610C">
          <w:rPr>
            <w:rStyle w:val="Hyperlink"/>
            <w:rFonts w:asciiTheme="minorHAnsi" w:hAnsiTheme="minorHAnsi" w:cstheme="minorHAnsi"/>
            <w:color w:val="auto"/>
            <w:u w:val="none"/>
          </w:rPr>
          <w:t>surety bond</w:t>
        </w:r>
      </w:hyperlink>
      <w:r w:rsidRPr="005C610C">
        <w:rPr>
          <w:rFonts w:asciiTheme="minorHAnsi" w:hAnsiTheme="minorHAnsi" w:cstheme="minorHAnsi"/>
        </w:rPr>
        <w:t> is a contract involving three parties who come together for the purpose of one party guaranteeing to another party that a third party will perform an obligation of some sort. It operates somewhat like an </w:t>
      </w:r>
      <w:hyperlink r:id="rId64" w:history="1">
        <w:r w:rsidRPr="005C610C">
          <w:rPr>
            <w:rStyle w:val="Hyperlink"/>
            <w:rFonts w:asciiTheme="minorHAnsi" w:hAnsiTheme="minorHAnsi" w:cstheme="minorHAnsi"/>
            <w:color w:val="auto"/>
            <w:u w:val="none"/>
          </w:rPr>
          <w:t>insurance policy</w:t>
        </w:r>
      </w:hyperlink>
      <w:r w:rsidRPr="005C610C">
        <w:rPr>
          <w:rFonts w:asciiTheme="minorHAnsi" w:hAnsiTheme="minorHAnsi" w:cstheme="minorHAnsi"/>
        </w:rPr>
        <w:t>. An importer's customs bond guarantees CBP that the importer will pay the </w:t>
      </w:r>
      <w:hyperlink r:id="rId65" w:history="1">
        <w:r w:rsidRPr="005C610C">
          <w:rPr>
            <w:rStyle w:val="Hyperlink"/>
            <w:rFonts w:asciiTheme="minorHAnsi" w:hAnsiTheme="minorHAnsi" w:cstheme="minorHAnsi"/>
            <w:color w:val="auto"/>
            <w:u w:val="none"/>
          </w:rPr>
          <w:t>customs duty</w:t>
        </w:r>
      </w:hyperlink>
      <w:r w:rsidRPr="005C610C">
        <w:rPr>
          <w:rFonts w:asciiTheme="minorHAnsi" w:hAnsiTheme="minorHAnsi" w:cstheme="minorHAnsi"/>
        </w:rPr>
        <w:t> due and </w:t>
      </w:r>
      <w:hyperlink r:id="rId66" w:history="1">
        <w:r w:rsidRPr="005C610C">
          <w:rPr>
            <w:rStyle w:val="Hyperlink"/>
            <w:rFonts w:asciiTheme="minorHAnsi" w:hAnsiTheme="minorHAnsi" w:cstheme="minorHAnsi"/>
            <w:color w:val="auto"/>
            <w:u w:val="none"/>
          </w:rPr>
          <w:t>I.R. tax</w:t>
        </w:r>
      </w:hyperlink>
      <w:r w:rsidRPr="005C610C">
        <w:rPr>
          <w:rFonts w:asciiTheme="minorHAnsi" w:hAnsiTheme="minorHAnsi" w:cstheme="minorHAnsi"/>
        </w:rPr>
        <w:t> on the imported shipment and comply with all other government requirements associated with the shipment. Under a surety bond, the importer is guaranteed prompt release of the cargo </w:t>
      </w:r>
      <w:r w:rsidRPr="005C610C">
        <w:rPr>
          <w:rFonts w:asciiTheme="minorHAnsi" w:hAnsiTheme="minorHAnsi" w:cstheme="minorHAnsi"/>
          <w:i/>
          <w:iCs/>
        </w:rPr>
        <w:t>before</w:t>
      </w:r>
      <w:r w:rsidRPr="005C610C">
        <w:rPr>
          <w:rFonts w:asciiTheme="minorHAnsi" w:hAnsiTheme="minorHAnsi" w:cstheme="minorHAnsi"/>
        </w:rPr>
        <w:t> the exact duty and/or tax have been determined by CBP, but with the goods subject to recall ("</w:t>
      </w:r>
      <w:hyperlink r:id="rId67" w:history="1">
        <w:r w:rsidRPr="005C610C">
          <w:rPr>
            <w:rStyle w:val="Hyperlink"/>
            <w:rFonts w:asciiTheme="minorHAnsi" w:hAnsiTheme="minorHAnsi" w:cstheme="minorHAnsi"/>
            <w:color w:val="auto"/>
            <w:u w:val="none"/>
          </w:rPr>
          <w:t>demand for redelivery</w:t>
        </w:r>
      </w:hyperlink>
      <w:r w:rsidRPr="005C610C">
        <w:rPr>
          <w:rFonts w:asciiTheme="minorHAnsi" w:hAnsiTheme="minorHAnsi" w:cstheme="minorHAnsi"/>
        </w:rPr>
        <w:t xml:space="preserve">") by CBP </w:t>
      </w:r>
      <w:r w:rsidRPr="005C610C">
        <w:rPr>
          <w:rFonts w:asciiTheme="minorHAnsi" w:hAnsiTheme="minorHAnsi" w:cstheme="minorHAnsi"/>
        </w:rPr>
        <w:lastRenderedPageBreak/>
        <w:t>if they are subsequently found to be in violation of government law or regulations affecting importation before the customs entry is finalized by CBP ("</w:t>
      </w:r>
      <w:hyperlink r:id="rId68" w:history="1">
        <w:r w:rsidRPr="005C610C">
          <w:rPr>
            <w:rStyle w:val="Hyperlink"/>
            <w:rFonts w:asciiTheme="minorHAnsi" w:hAnsiTheme="minorHAnsi" w:cstheme="minorHAnsi"/>
            <w:color w:val="auto"/>
            <w:u w:val="none"/>
          </w:rPr>
          <w:t>entry liquidation</w:t>
        </w:r>
      </w:hyperlink>
      <w:r w:rsidRPr="005C610C">
        <w:rPr>
          <w:rFonts w:asciiTheme="minorHAnsi" w:hAnsiTheme="minorHAnsi" w:cstheme="minorHAnsi"/>
        </w:rPr>
        <w:t>").</w:t>
      </w:r>
    </w:p>
    <w:p w14:paraId="4032EB0C" w14:textId="77777777" w:rsidR="001D4DCE" w:rsidRPr="005C610C" w:rsidRDefault="001D4DCE" w:rsidP="001D4DCE">
      <w:pPr>
        <w:pStyle w:val="NormalWeb"/>
        <w:rPr>
          <w:rFonts w:asciiTheme="minorHAnsi" w:hAnsiTheme="minorHAnsi" w:cstheme="minorHAnsi"/>
        </w:rPr>
      </w:pPr>
      <w:bookmarkStart w:id="10" w:name="56:q4280"/>
      <w:bookmarkEnd w:id="10"/>
      <w:r w:rsidRPr="005C610C">
        <w:rPr>
          <w:rFonts w:asciiTheme="minorHAnsi" w:hAnsiTheme="minorHAnsi" w:cstheme="minorHAnsi"/>
        </w:rPr>
        <w:t>The three parties to an </w:t>
      </w:r>
      <w:hyperlink r:id="rId69" w:history="1">
        <w:r w:rsidRPr="005C610C">
          <w:rPr>
            <w:rStyle w:val="Hyperlink"/>
            <w:rFonts w:asciiTheme="minorHAnsi" w:hAnsiTheme="minorHAnsi" w:cstheme="minorHAnsi"/>
            <w:color w:val="auto"/>
            <w:u w:val="none"/>
          </w:rPr>
          <w:t>importer customs bond</w:t>
        </w:r>
      </w:hyperlink>
      <w:r w:rsidRPr="005C610C">
        <w:rPr>
          <w:rFonts w:asciiTheme="minorHAnsi" w:hAnsiTheme="minorHAnsi" w:cstheme="minorHAnsi"/>
        </w:rPr>
        <w:t> (or any other type of surety bond) are:</w:t>
      </w:r>
    </w:p>
    <w:p w14:paraId="7C6FF2C3" w14:textId="77777777" w:rsidR="001D4DCE" w:rsidRPr="005C610C" w:rsidRDefault="001D4DCE" w:rsidP="001D4DCE">
      <w:pPr>
        <w:numPr>
          <w:ilvl w:val="0"/>
          <w:numId w:val="4"/>
        </w:numPr>
        <w:spacing w:before="100" w:beforeAutospacing="1" w:after="100" w:afterAutospacing="1" w:line="240" w:lineRule="auto"/>
        <w:rPr>
          <w:rFonts w:cstheme="minorHAnsi"/>
          <w:sz w:val="24"/>
          <w:szCs w:val="24"/>
        </w:rPr>
      </w:pPr>
      <w:r w:rsidRPr="009C2510">
        <w:rPr>
          <w:rFonts w:cstheme="minorHAnsi"/>
          <w:b/>
          <w:sz w:val="24"/>
          <w:szCs w:val="24"/>
        </w:rPr>
        <w:t>The </w:t>
      </w:r>
      <w:hyperlink r:id="rId70" w:history="1">
        <w:r w:rsidRPr="009C2510">
          <w:rPr>
            <w:rStyle w:val="Hyperlink"/>
            <w:rFonts w:cstheme="minorHAnsi"/>
            <w:b/>
            <w:color w:val="auto"/>
            <w:sz w:val="24"/>
            <w:szCs w:val="24"/>
            <w:u w:val="none"/>
          </w:rPr>
          <w:t>principal</w:t>
        </w:r>
      </w:hyperlink>
      <w:r w:rsidRPr="005C610C">
        <w:rPr>
          <w:rFonts w:cstheme="minorHAnsi"/>
          <w:sz w:val="24"/>
          <w:szCs w:val="24"/>
        </w:rPr>
        <w:t> – </w:t>
      </w:r>
      <w:bookmarkStart w:id="11" w:name="56:r4478"/>
      <w:bookmarkEnd w:id="11"/>
      <w:r w:rsidRPr="005C610C">
        <w:rPr>
          <w:rFonts w:cstheme="minorHAnsi"/>
          <w:sz w:val="24"/>
          <w:szCs w:val="24"/>
        </w:rPr>
        <w:t>This is </w:t>
      </w:r>
      <w:r w:rsidRPr="005C610C">
        <w:rPr>
          <w:rFonts w:cstheme="minorHAnsi"/>
          <w:i/>
          <w:iCs/>
          <w:sz w:val="24"/>
          <w:szCs w:val="24"/>
        </w:rPr>
        <w:t>always</w:t>
      </w:r>
      <w:r w:rsidRPr="005C610C">
        <w:rPr>
          <w:rFonts w:cstheme="minorHAnsi"/>
          <w:sz w:val="24"/>
          <w:szCs w:val="24"/>
        </w:rPr>
        <w:t> the </w:t>
      </w:r>
      <w:hyperlink r:id="rId71" w:history="1">
        <w:r w:rsidRPr="005C610C">
          <w:rPr>
            <w:rStyle w:val="Hyperlink"/>
            <w:rFonts w:cstheme="minorHAnsi"/>
            <w:color w:val="auto"/>
            <w:sz w:val="24"/>
            <w:szCs w:val="24"/>
            <w:u w:val="none"/>
          </w:rPr>
          <w:t>importer of record</w:t>
        </w:r>
      </w:hyperlink>
      <w:r w:rsidRPr="005C610C">
        <w:rPr>
          <w:rFonts w:cstheme="minorHAnsi"/>
          <w:sz w:val="24"/>
          <w:szCs w:val="24"/>
        </w:rPr>
        <w:t>, and </w:t>
      </w:r>
      <w:r w:rsidRPr="005C610C">
        <w:rPr>
          <w:rFonts w:cstheme="minorHAnsi"/>
          <w:i/>
          <w:iCs/>
          <w:sz w:val="24"/>
          <w:szCs w:val="24"/>
        </w:rPr>
        <w:t>typically</w:t>
      </w:r>
      <w:r w:rsidRPr="005C610C">
        <w:rPr>
          <w:rFonts w:cstheme="minorHAnsi"/>
          <w:sz w:val="24"/>
          <w:szCs w:val="24"/>
        </w:rPr>
        <w:t> the owner, </w:t>
      </w:r>
      <w:hyperlink r:id="rId72" w:history="1">
        <w:r w:rsidRPr="005C610C">
          <w:rPr>
            <w:rStyle w:val="Hyperlink"/>
            <w:rFonts w:cstheme="minorHAnsi"/>
            <w:color w:val="auto"/>
            <w:sz w:val="24"/>
            <w:szCs w:val="24"/>
            <w:u w:val="none"/>
          </w:rPr>
          <w:t>consignee</w:t>
        </w:r>
      </w:hyperlink>
      <w:r w:rsidRPr="005C610C">
        <w:rPr>
          <w:rFonts w:cstheme="minorHAnsi"/>
          <w:sz w:val="24"/>
          <w:szCs w:val="24"/>
        </w:rPr>
        <w:t> on the </w:t>
      </w:r>
      <w:hyperlink r:id="rId73" w:history="1">
        <w:r w:rsidRPr="005C610C">
          <w:rPr>
            <w:rStyle w:val="Hyperlink"/>
            <w:rFonts w:cstheme="minorHAnsi"/>
            <w:color w:val="auto"/>
            <w:sz w:val="24"/>
            <w:szCs w:val="24"/>
            <w:u w:val="none"/>
          </w:rPr>
          <w:t>transport document</w:t>
        </w:r>
      </w:hyperlink>
      <w:r w:rsidRPr="005C610C">
        <w:rPr>
          <w:rFonts w:cstheme="minorHAnsi"/>
          <w:sz w:val="24"/>
          <w:szCs w:val="24"/>
        </w:rPr>
        <w:t>, </w:t>
      </w:r>
      <w:hyperlink r:id="rId74" w:history="1">
        <w:r w:rsidRPr="005C610C">
          <w:rPr>
            <w:rStyle w:val="Hyperlink"/>
            <w:rFonts w:cstheme="minorHAnsi"/>
            <w:color w:val="auto"/>
            <w:sz w:val="24"/>
            <w:szCs w:val="24"/>
            <w:u w:val="none"/>
          </w:rPr>
          <w:t>ultimate consignee,</w:t>
        </w:r>
      </w:hyperlink>
      <w:r w:rsidRPr="005C610C">
        <w:rPr>
          <w:rFonts w:cstheme="minorHAnsi"/>
          <w:sz w:val="24"/>
          <w:szCs w:val="24"/>
        </w:rPr>
        <w:t> and/or party in the U.S. with </w:t>
      </w:r>
      <w:hyperlink r:id="rId75" w:history="1">
        <w:r w:rsidRPr="005C610C">
          <w:rPr>
            <w:rStyle w:val="Hyperlink"/>
            <w:rFonts w:cstheme="minorHAnsi"/>
            <w:color w:val="auto"/>
            <w:sz w:val="24"/>
            <w:szCs w:val="24"/>
            <w:u w:val="none"/>
          </w:rPr>
          <w:t>beneficial interest</w:t>
        </w:r>
      </w:hyperlink>
      <w:r w:rsidRPr="005C610C">
        <w:rPr>
          <w:rFonts w:cstheme="minorHAnsi"/>
          <w:sz w:val="24"/>
          <w:szCs w:val="24"/>
        </w:rPr>
        <w:t> in the cargo.</w:t>
      </w:r>
      <w:r w:rsidRPr="005C610C">
        <w:rPr>
          <w:rFonts w:cstheme="minorHAnsi"/>
          <w:sz w:val="24"/>
          <w:szCs w:val="24"/>
        </w:rPr>
        <w:br/>
        <w:t>Note: It is also possible for a </w:t>
      </w:r>
      <w:hyperlink r:id="rId76" w:history="1">
        <w:r w:rsidRPr="005C610C">
          <w:rPr>
            <w:rStyle w:val="Hyperlink"/>
            <w:rFonts w:cstheme="minorHAnsi"/>
            <w:color w:val="auto"/>
            <w:sz w:val="24"/>
            <w:szCs w:val="24"/>
            <w:u w:val="none"/>
          </w:rPr>
          <w:t>customs broker</w:t>
        </w:r>
      </w:hyperlink>
      <w:r w:rsidRPr="005C610C">
        <w:rPr>
          <w:rFonts w:cstheme="minorHAnsi"/>
          <w:sz w:val="24"/>
          <w:szCs w:val="24"/>
        </w:rPr>
        <w:t> to be the principal on a customs bond when the broker is acting as the importer of record, though few brokers do this because it makes them, rather than the owner of the goods, </w:t>
      </w:r>
      <w:r w:rsidRPr="005C610C">
        <w:rPr>
          <w:rFonts w:cstheme="minorHAnsi"/>
          <w:i/>
          <w:iCs/>
          <w:sz w:val="24"/>
          <w:szCs w:val="24"/>
        </w:rPr>
        <w:t>directly</w:t>
      </w:r>
      <w:r w:rsidRPr="005C610C">
        <w:rPr>
          <w:rFonts w:cstheme="minorHAnsi"/>
          <w:sz w:val="24"/>
          <w:szCs w:val="24"/>
        </w:rPr>
        <w:t> liable to </w:t>
      </w:r>
      <w:hyperlink r:id="rId77" w:history="1">
        <w:r w:rsidRPr="005C610C">
          <w:rPr>
            <w:rStyle w:val="Hyperlink"/>
            <w:rFonts w:cstheme="minorHAnsi"/>
            <w:color w:val="auto"/>
            <w:sz w:val="24"/>
            <w:szCs w:val="24"/>
            <w:u w:val="none"/>
          </w:rPr>
          <w:t>CBP</w:t>
        </w:r>
      </w:hyperlink>
      <w:r w:rsidRPr="005C610C">
        <w:rPr>
          <w:rFonts w:cstheme="minorHAnsi"/>
          <w:sz w:val="24"/>
          <w:szCs w:val="24"/>
        </w:rPr>
        <w:t> for payment of customs duty and compliance with all other import requirements.</w:t>
      </w:r>
      <w:r w:rsidR="00921951">
        <w:rPr>
          <w:rFonts w:cstheme="minorHAnsi"/>
          <w:sz w:val="24"/>
          <w:szCs w:val="24"/>
        </w:rPr>
        <w:t xml:space="preserve"> </w:t>
      </w:r>
      <w:r w:rsidR="00921951" w:rsidRPr="00921951">
        <w:rPr>
          <w:rFonts w:cstheme="minorHAnsi"/>
          <w:b/>
          <w:sz w:val="24"/>
          <w:szCs w:val="24"/>
        </w:rPr>
        <w:t>FNA does not do this!</w:t>
      </w:r>
      <w:r w:rsidR="00921951">
        <w:rPr>
          <w:rFonts w:cstheme="minorHAnsi"/>
          <w:sz w:val="24"/>
          <w:szCs w:val="24"/>
        </w:rPr>
        <w:t xml:space="preserve"> </w:t>
      </w:r>
    </w:p>
    <w:p w14:paraId="6DC12703" w14:textId="77777777" w:rsidR="001D4DCE" w:rsidRPr="005C610C" w:rsidRDefault="001D4DCE" w:rsidP="001D4DCE">
      <w:pPr>
        <w:numPr>
          <w:ilvl w:val="0"/>
          <w:numId w:val="4"/>
        </w:numPr>
        <w:spacing w:before="100" w:beforeAutospacing="1" w:after="100" w:afterAutospacing="1" w:line="240" w:lineRule="auto"/>
        <w:rPr>
          <w:rFonts w:cstheme="minorHAnsi"/>
          <w:sz w:val="24"/>
          <w:szCs w:val="24"/>
        </w:rPr>
      </w:pPr>
      <w:r w:rsidRPr="00921951">
        <w:rPr>
          <w:rFonts w:cstheme="minorHAnsi"/>
          <w:b/>
          <w:sz w:val="24"/>
          <w:szCs w:val="24"/>
        </w:rPr>
        <w:t>The </w:t>
      </w:r>
      <w:hyperlink r:id="rId78" w:history="1">
        <w:r w:rsidRPr="00921951">
          <w:rPr>
            <w:rStyle w:val="Hyperlink"/>
            <w:rFonts w:cstheme="minorHAnsi"/>
            <w:b/>
            <w:color w:val="auto"/>
            <w:sz w:val="24"/>
            <w:szCs w:val="24"/>
            <w:u w:val="none"/>
          </w:rPr>
          <w:t>surety</w:t>
        </w:r>
      </w:hyperlink>
      <w:r w:rsidRPr="005C610C">
        <w:rPr>
          <w:rFonts w:cstheme="minorHAnsi"/>
          <w:sz w:val="24"/>
          <w:szCs w:val="24"/>
        </w:rPr>
        <w:t> – </w:t>
      </w:r>
      <w:bookmarkStart w:id="12" w:name="56:r4479"/>
      <w:bookmarkEnd w:id="12"/>
      <w:r w:rsidRPr="005C610C">
        <w:rPr>
          <w:rFonts w:cstheme="minorHAnsi"/>
          <w:sz w:val="24"/>
          <w:szCs w:val="24"/>
        </w:rPr>
        <w:t>This is the party, typically an insurance company that has been approved by CBP to issue customs bonds. The surety makes the guarantee of payment to CBP or any </w:t>
      </w:r>
      <w:r w:rsidRPr="005C610C">
        <w:rPr>
          <w:rFonts w:cstheme="minorHAnsi"/>
          <w:i/>
          <w:iCs/>
          <w:sz w:val="24"/>
          <w:szCs w:val="24"/>
        </w:rPr>
        <w:t>financial</w:t>
      </w:r>
      <w:r w:rsidRPr="005C610C">
        <w:rPr>
          <w:rFonts w:cstheme="minorHAnsi"/>
          <w:sz w:val="24"/>
          <w:szCs w:val="24"/>
        </w:rPr>
        <w:t> liability to CBP that may arise as a result of the importer's failure to perform its obligations, up to the full bond amount. An importer's obligations consist of payment of customs duty or IRS tax as CBP may determine due on an importation covered by the bond, and also any </w:t>
      </w:r>
      <w:hyperlink r:id="rId79" w:history="1">
        <w:r w:rsidRPr="005C610C">
          <w:rPr>
            <w:rStyle w:val="Hyperlink"/>
            <w:rFonts w:cstheme="minorHAnsi"/>
            <w:color w:val="auto"/>
            <w:sz w:val="24"/>
            <w:szCs w:val="24"/>
            <w:u w:val="none"/>
          </w:rPr>
          <w:t>customs penalty</w:t>
        </w:r>
      </w:hyperlink>
      <w:r w:rsidRPr="005C610C">
        <w:rPr>
          <w:rFonts w:cstheme="minorHAnsi"/>
          <w:sz w:val="24"/>
          <w:szCs w:val="24"/>
        </w:rPr>
        <w:t>, </w:t>
      </w:r>
      <w:hyperlink r:id="rId80" w:history="1">
        <w:r w:rsidRPr="005C610C">
          <w:rPr>
            <w:rStyle w:val="Hyperlink"/>
            <w:rFonts w:cstheme="minorHAnsi"/>
            <w:color w:val="auto"/>
            <w:sz w:val="24"/>
            <w:szCs w:val="24"/>
            <w:u w:val="none"/>
          </w:rPr>
          <w:t>liquidated damages</w:t>
        </w:r>
      </w:hyperlink>
      <w:r w:rsidRPr="005C610C">
        <w:rPr>
          <w:rFonts w:cstheme="minorHAnsi"/>
          <w:sz w:val="24"/>
          <w:szCs w:val="24"/>
        </w:rPr>
        <w:t> and/or </w:t>
      </w:r>
      <w:hyperlink r:id="rId81" w:history="1">
        <w:r w:rsidRPr="005C610C">
          <w:rPr>
            <w:rStyle w:val="Hyperlink"/>
            <w:rFonts w:cstheme="minorHAnsi"/>
            <w:color w:val="auto"/>
            <w:sz w:val="24"/>
            <w:szCs w:val="24"/>
            <w:u w:val="none"/>
          </w:rPr>
          <w:t>constructive seizure</w:t>
        </w:r>
      </w:hyperlink>
      <w:r w:rsidRPr="005C610C">
        <w:rPr>
          <w:rFonts w:cstheme="minorHAnsi"/>
          <w:sz w:val="24"/>
          <w:szCs w:val="24"/>
        </w:rPr>
        <w:t> amount that CBP assessed for failure to comply with importation requirements.</w:t>
      </w:r>
    </w:p>
    <w:p w14:paraId="260287D1" w14:textId="77777777" w:rsidR="001D4DCE" w:rsidRPr="005C610C" w:rsidRDefault="001D4DCE" w:rsidP="001D4DCE">
      <w:pPr>
        <w:numPr>
          <w:ilvl w:val="0"/>
          <w:numId w:val="4"/>
        </w:numPr>
        <w:spacing w:before="100" w:beforeAutospacing="1" w:after="100" w:afterAutospacing="1" w:line="240" w:lineRule="auto"/>
        <w:rPr>
          <w:rFonts w:cstheme="minorHAnsi"/>
          <w:sz w:val="24"/>
          <w:szCs w:val="24"/>
        </w:rPr>
      </w:pPr>
      <w:r w:rsidRPr="00921951">
        <w:rPr>
          <w:rFonts w:cstheme="minorHAnsi"/>
          <w:b/>
          <w:sz w:val="24"/>
          <w:szCs w:val="24"/>
        </w:rPr>
        <w:t>The </w:t>
      </w:r>
      <w:hyperlink r:id="rId82" w:history="1">
        <w:r w:rsidRPr="00921951">
          <w:rPr>
            <w:rStyle w:val="Hyperlink"/>
            <w:rFonts w:cstheme="minorHAnsi"/>
            <w:b/>
            <w:color w:val="auto"/>
            <w:sz w:val="24"/>
            <w:szCs w:val="24"/>
            <w:u w:val="none"/>
          </w:rPr>
          <w:t>beneficiary</w:t>
        </w:r>
      </w:hyperlink>
      <w:r w:rsidRPr="005C610C">
        <w:rPr>
          <w:rFonts w:cstheme="minorHAnsi"/>
          <w:sz w:val="24"/>
          <w:szCs w:val="24"/>
        </w:rPr>
        <w:t> – </w:t>
      </w:r>
      <w:bookmarkStart w:id="13" w:name="56:r4480"/>
      <w:bookmarkEnd w:id="13"/>
      <w:r w:rsidRPr="005C610C">
        <w:rPr>
          <w:rFonts w:cstheme="minorHAnsi"/>
          <w:sz w:val="24"/>
          <w:szCs w:val="24"/>
        </w:rPr>
        <w:t>This is </w:t>
      </w:r>
      <w:r w:rsidRPr="005C610C">
        <w:rPr>
          <w:rFonts w:cstheme="minorHAnsi"/>
          <w:i/>
          <w:iCs/>
          <w:sz w:val="24"/>
          <w:szCs w:val="24"/>
        </w:rPr>
        <w:t>always</w:t>
      </w:r>
      <w:r w:rsidRPr="005C610C">
        <w:rPr>
          <w:rFonts w:cstheme="minorHAnsi"/>
          <w:sz w:val="24"/>
          <w:szCs w:val="24"/>
        </w:rPr>
        <w:t> CBP.</w:t>
      </w:r>
    </w:p>
    <w:p w14:paraId="4A211BCA" w14:textId="77777777" w:rsidR="00CD40A4" w:rsidRPr="005C610C" w:rsidRDefault="001D4DCE">
      <w:pPr>
        <w:rPr>
          <w:rFonts w:cstheme="minorHAnsi"/>
          <w:sz w:val="24"/>
          <w:szCs w:val="24"/>
        </w:rPr>
      </w:pPr>
      <w:bookmarkStart w:id="14" w:name="56:r4481"/>
      <w:bookmarkEnd w:id="14"/>
      <w:r w:rsidRPr="005C610C">
        <w:rPr>
          <w:rFonts w:cstheme="minorHAnsi"/>
          <w:sz w:val="24"/>
          <w:szCs w:val="24"/>
          <w:shd w:val="clear" w:color="auto" w:fill="FFFFFF"/>
        </w:rPr>
        <w:t>The principal and surety are also known as the bond </w:t>
      </w:r>
      <w:r w:rsidRPr="005C610C">
        <w:rPr>
          <w:rFonts w:cstheme="minorHAnsi"/>
          <w:i/>
          <w:iCs/>
          <w:sz w:val="24"/>
          <w:szCs w:val="24"/>
        </w:rPr>
        <w:t>obligors</w:t>
      </w:r>
      <w:r w:rsidRPr="005C610C">
        <w:rPr>
          <w:rFonts w:cstheme="minorHAnsi"/>
          <w:sz w:val="24"/>
          <w:szCs w:val="24"/>
          <w:shd w:val="clear" w:color="auto" w:fill="FFFFFF"/>
        </w:rPr>
        <w:t>.</w:t>
      </w:r>
    </w:p>
    <w:p w14:paraId="7333FD6E" w14:textId="77777777" w:rsidR="001D4DCE" w:rsidRPr="005C610C" w:rsidRDefault="001D4DCE" w:rsidP="001D4DCE">
      <w:pPr>
        <w:pStyle w:val="Heading5"/>
        <w:rPr>
          <w:rFonts w:asciiTheme="minorHAnsi" w:hAnsiTheme="minorHAnsi" w:cstheme="minorHAnsi"/>
          <w:color w:val="000000"/>
          <w:sz w:val="24"/>
          <w:szCs w:val="24"/>
        </w:rPr>
      </w:pPr>
      <w:bookmarkStart w:id="15" w:name="56:e2703"/>
      <w:r w:rsidRPr="005C610C">
        <w:rPr>
          <w:rFonts w:asciiTheme="minorHAnsi" w:hAnsiTheme="minorHAnsi" w:cstheme="minorHAnsi"/>
          <w:color w:val="000000"/>
          <w:sz w:val="24"/>
          <w:szCs w:val="24"/>
        </w:rPr>
        <w:t>Bond Type Codes for Entry Summary</w:t>
      </w:r>
      <w:bookmarkEnd w:id="15"/>
    </w:p>
    <w:p w14:paraId="2C8E5821" w14:textId="77777777" w:rsidR="001D4DCE" w:rsidRPr="005C610C" w:rsidRDefault="001D4DCE" w:rsidP="001D4DCE">
      <w:pPr>
        <w:pStyle w:val="NormalWeb"/>
        <w:rPr>
          <w:rFonts w:asciiTheme="minorHAnsi" w:hAnsiTheme="minorHAnsi" w:cstheme="minorHAnsi"/>
          <w:color w:val="000000"/>
        </w:rPr>
      </w:pPr>
      <w:r w:rsidRPr="005C610C">
        <w:rPr>
          <w:rFonts w:asciiTheme="minorHAnsi" w:hAnsiTheme="minorHAnsi" w:cstheme="minorHAnsi"/>
          <w:color w:val="000000"/>
        </w:rPr>
        <w:t xml:space="preserve">In Block 5 of </w:t>
      </w:r>
      <w:r w:rsidRPr="005C610C">
        <w:rPr>
          <w:rFonts w:asciiTheme="minorHAnsi" w:hAnsiTheme="minorHAnsi" w:cstheme="minorHAnsi"/>
        </w:rPr>
        <w:t>the </w:t>
      </w:r>
      <w:hyperlink r:id="rId83" w:history="1">
        <w:r w:rsidRPr="005C610C">
          <w:rPr>
            <w:rStyle w:val="Hyperlink"/>
            <w:rFonts w:asciiTheme="minorHAnsi" w:hAnsiTheme="minorHAnsi" w:cstheme="minorHAnsi"/>
            <w:color w:val="auto"/>
            <w:u w:val="none"/>
          </w:rPr>
          <w:t>CBP Form</w:t>
        </w:r>
      </w:hyperlink>
      <w:r w:rsidRPr="005C610C">
        <w:rPr>
          <w:rFonts w:asciiTheme="minorHAnsi" w:hAnsiTheme="minorHAnsi" w:cstheme="minorHAnsi"/>
        </w:rPr>
        <w:t>,</w:t>
      </w:r>
      <w:r w:rsidR="00921951">
        <w:rPr>
          <w:rFonts w:asciiTheme="minorHAnsi" w:hAnsiTheme="minorHAnsi" w:cstheme="minorHAnsi"/>
        </w:rPr>
        <w:t xml:space="preserve"> (MISC tab of the Declaration)</w:t>
      </w:r>
      <w:r w:rsidRPr="005C610C">
        <w:rPr>
          <w:rFonts w:asciiTheme="minorHAnsi" w:hAnsiTheme="minorHAnsi" w:cstheme="minorHAnsi"/>
        </w:rPr>
        <w:t xml:space="preserve"> record </w:t>
      </w:r>
      <w:r w:rsidRPr="005C610C">
        <w:rPr>
          <w:rFonts w:asciiTheme="minorHAnsi" w:hAnsiTheme="minorHAnsi" w:cstheme="minorHAnsi"/>
          <w:color w:val="000000"/>
        </w:rPr>
        <w:t>one of these single digit numeric codes:</w:t>
      </w:r>
    </w:p>
    <w:p w14:paraId="6BD7A481" w14:textId="77777777" w:rsidR="001D4DCE" w:rsidRPr="005C610C" w:rsidRDefault="001D4DCE" w:rsidP="001D4DCE">
      <w:pPr>
        <w:pStyle w:val="NormalWeb"/>
        <w:rPr>
          <w:rFonts w:asciiTheme="minorHAnsi" w:hAnsiTheme="minorHAnsi" w:cstheme="minorHAnsi"/>
          <w:color w:val="000000"/>
        </w:rPr>
      </w:pPr>
      <w:r w:rsidRPr="005C610C">
        <w:rPr>
          <w:rFonts w:asciiTheme="minorHAnsi" w:hAnsiTheme="minorHAnsi" w:cstheme="minorHAnsi"/>
          <w:color w:val="000000"/>
        </w:rPr>
        <w:t>0 – U. S. government shipment, or entry types not requiring a bond, such as informal</w:t>
      </w:r>
    </w:p>
    <w:p w14:paraId="4ACEE3BF" w14:textId="77777777" w:rsidR="001D4DCE" w:rsidRPr="005C610C" w:rsidRDefault="001D4DCE" w:rsidP="001D4DCE">
      <w:pPr>
        <w:pStyle w:val="NormalWeb"/>
        <w:rPr>
          <w:rFonts w:asciiTheme="minorHAnsi" w:hAnsiTheme="minorHAnsi" w:cstheme="minorHAnsi"/>
          <w:color w:val="000000"/>
        </w:rPr>
      </w:pPr>
      <w:r w:rsidRPr="005C610C">
        <w:rPr>
          <w:rFonts w:asciiTheme="minorHAnsi" w:hAnsiTheme="minorHAnsi" w:cstheme="minorHAnsi"/>
          <w:color w:val="000000"/>
        </w:rPr>
        <w:t>8 – Continuous bond</w:t>
      </w:r>
    </w:p>
    <w:p w14:paraId="7E03EC07" w14:textId="77777777" w:rsidR="001D4DCE" w:rsidRPr="005C610C" w:rsidRDefault="001D4DCE" w:rsidP="001D4DCE">
      <w:pPr>
        <w:pStyle w:val="NormalWeb"/>
        <w:rPr>
          <w:rFonts w:asciiTheme="minorHAnsi" w:hAnsiTheme="minorHAnsi" w:cstheme="minorHAnsi"/>
          <w:color w:val="000000"/>
        </w:rPr>
      </w:pPr>
      <w:r w:rsidRPr="005C610C">
        <w:rPr>
          <w:rFonts w:asciiTheme="minorHAnsi" w:hAnsiTheme="minorHAnsi" w:cstheme="minorHAnsi"/>
          <w:color w:val="000000"/>
        </w:rPr>
        <w:t>9 – Single transaction bond</w:t>
      </w:r>
    </w:p>
    <w:p w14:paraId="7782B9FB" w14:textId="77777777" w:rsidR="001D4DCE" w:rsidRPr="001D4DCE" w:rsidRDefault="001D4DCE" w:rsidP="001D4DCE">
      <w:pPr>
        <w:spacing w:before="100" w:beforeAutospacing="1" w:after="100" w:afterAutospacing="1" w:line="240" w:lineRule="auto"/>
        <w:outlineLvl w:val="4"/>
        <w:rPr>
          <w:rFonts w:eastAsia="Times New Roman" w:cstheme="minorHAnsi"/>
          <w:b/>
          <w:bCs/>
          <w:color w:val="000000"/>
          <w:sz w:val="24"/>
          <w:szCs w:val="24"/>
        </w:rPr>
      </w:pPr>
      <w:bookmarkStart w:id="16" w:name="56:e2702"/>
      <w:r w:rsidRPr="001D4DCE">
        <w:rPr>
          <w:rFonts w:eastAsia="Times New Roman" w:cstheme="minorHAnsi"/>
          <w:b/>
          <w:bCs/>
          <w:color w:val="000000"/>
          <w:sz w:val="24"/>
          <w:szCs w:val="24"/>
        </w:rPr>
        <w:t>Surety Codes for Entry Summary</w:t>
      </w:r>
      <w:bookmarkEnd w:id="16"/>
    </w:p>
    <w:p w14:paraId="6D25D2AF" w14:textId="77777777" w:rsidR="001D4DCE" w:rsidRPr="001D4DCE" w:rsidRDefault="001D4DCE" w:rsidP="001D4DCE">
      <w:pPr>
        <w:spacing w:before="100" w:beforeAutospacing="1" w:after="100" w:afterAutospacing="1" w:line="240" w:lineRule="auto"/>
        <w:rPr>
          <w:rFonts w:eastAsia="Times New Roman" w:cstheme="minorHAnsi"/>
          <w:color w:val="000000"/>
          <w:sz w:val="24"/>
          <w:szCs w:val="24"/>
        </w:rPr>
      </w:pPr>
      <w:r w:rsidRPr="001D4DCE">
        <w:rPr>
          <w:rFonts w:eastAsia="Times New Roman" w:cstheme="minorHAnsi"/>
          <w:color w:val="000000"/>
          <w:sz w:val="24"/>
          <w:szCs w:val="24"/>
        </w:rPr>
        <w:t>Each surety company has a three-digit numeric code that identifies them to CBP. The surety code should be shown in Block 4 of the entry summary. This code can be found in Block 7 of the CBP</w:t>
      </w:r>
      <w:r w:rsidRPr="001D4DCE">
        <w:rPr>
          <w:rFonts w:eastAsia="Times New Roman" w:cstheme="minorHAnsi"/>
          <w:sz w:val="24"/>
          <w:szCs w:val="24"/>
        </w:rPr>
        <w:t xml:space="preserve"> Form </w:t>
      </w:r>
      <w:hyperlink r:id="rId84" w:history="1">
        <w:r w:rsidRPr="00921951">
          <w:rPr>
            <w:rFonts w:eastAsia="Times New Roman" w:cstheme="minorHAnsi"/>
            <w:sz w:val="24"/>
            <w:szCs w:val="24"/>
          </w:rPr>
          <w:t>301</w:t>
        </w:r>
      </w:hyperlink>
      <w:r w:rsidRPr="001D4DCE">
        <w:rPr>
          <w:rFonts w:eastAsia="Times New Roman" w:cstheme="minorHAnsi"/>
          <w:sz w:val="24"/>
          <w:szCs w:val="24"/>
        </w:rPr>
        <w:t>, should be on file in the </w:t>
      </w:r>
      <w:hyperlink r:id="rId85" w:history="1">
        <w:r w:rsidRPr="00921951">
          <w:rPr>
            <w:rFonts w:eastAsia="Times New Roman" w:cstheme="minorHAnsi"/>
            <w:sz w:val="24"/>
            <w:szCs w:val="24"/>
          </w:rPr>
          <w:t>ABI filer</w:t>
        </w:r>
      </w:hyperlink>
      <w:r w:rsidRPr="001D4DCE">
        <w:rPr>
          <w:rFonts w:eastAsia="Times New Roman" w:cstheme="minorHAnsi"/>
          <w:color w:val="000000"/>
          <w:sz w:val="24"/>
          <w:szCs w:val="24"/>
        </w:rPr>
        <w:t> computer system database, or through an importer bond query transaction.</w:t>
      </w:r>
    </w:p>
    <w:p w14:paraId="5F107131" w14:textId="77777777" w:rsidR="001D4DCE" w:rsidRPr="001D4DCE" w:rsidRDefault="001D4DCE" w:rsidP="001D4DCE">
      <w:pPr>
        <w:numPr>
          <w:ilvl w:val="0"/>
          <w:numId w:val="5"/>
        </w:numPr>
        <w:spacing w:before="100" w:beforeAutospacing="1" w:after="100" w:afterAutospacing="1" w:line="240" w:lineRule="auto"/>
        <w:rPr>
          <w:rFonts w:eastAsia="Times New Roman" w:cstheme="minorHAnsi"/>
          <w:color w:val="000000"/>
          <w:sz w:val="24"/>
          <w:szCs w:val="24"/>
        </w:rPr>
      </w:pPr>
      <w:r w:rsidRPr="001D4DCE">
        <w:rPr>
          <w:rFonts w:eastAsia="Times New Roman" w:cstheme="minorHAnsi"/>
          <w:color w:val="000000"/>
          <w:sz w:val="24"/>
          <w:szCs w:val="24"/>
        </w:rPr>
        <w:t>U. S. government importation – Use surety code 999.</w:t>
      </w:r>
    </w:p>
    <w:p w14:paraId="14D35B1E" w14:textId="77777777" w:rsidR="001D4DCE" w:rsidRPr="001D4DCE" w:rsidRDefault="001D4DCE" w:rsidP="001D4DCE">
      <w:pPr>
        <w:numPr>
          <w:ilvl w:val="0"/>
          <w:numId w:val="5"/>
        </w:numPr>
        <w:spacing w:before="100" w:beforeAutospacing="1" w:after="100" w:afterAutospacing="1" w:line="240" w:lineRule="auto"/>
        <w:rPr>
          <w:rFonts w:eastAsia="Times New Roman" w:cstheme="minorHAnsi"/>
          <w:color w:val="000000"/>
          <w:sz w:val="24"/>
          <w:szCs w:val="24"/>
        </w:rPr>
      </w:pPr>
      <w:r w:rsidRPr="001D4DCE">
        <w:rPr>
          <w:rFonts w:eastAsia="Times New Roman" w:cstheme="minorHAnsi"/>
          <w:color w:val="000000"/>
          <w:sz w:val="24"/>
          <w:szCs w:val="24"/>
        </w:rPr>
        <w:t>Cash or government securities in lieu of surety – Use surety code 998.</w:t>
      </w:r>
    </w:p>
    <w:p w14:paraId="0B5B3A1C" w14:textId="77777777" w:rsidR="001D4DCE" w:rsidRPr="00921951" w:rsidRDefault="001D4DCE" w:rsidP="001D4DCE">
      <w:pPr>
        <w:numPr>
          <w:ilvl w:val="0"/>
          <w:numId w:val="5"/>
        </w:numPr>
        <w:spacing w:before="100" w:beforeAutospacing="1" w:after="100" w:afterAutospacing="1" w:line="240" w:lineRule="auto"/>
        <w:rPr>
          <w:rFonts w:eastAsia="Times New Roman" w:cstheme="minorHAnsi"/>
          <w:color w:val="000000"/>
          <w:sz w:val="24"/>
          <w:szCs w:val="24"/>
        </w:rPr>
      </w:pPr>
      <w:r w:rsidRPr="001D4DCE">
        <w:rPr>
          <w:rFonts w:eastAsia="Times New Roman" w:cstheme="minorHAnsi"/>
          <w:color w:val="000000"/>
          <w:sz w:val="24"/>
          <w:szCs w:val="24"/>
        </w:rPr>
        <w:lastRenderedPageBreak/>
        <w:t>Informal and other entry types not requiring a bond – Use surety code 999.</w:t>
      </w:r>
    </w:p>
    <w:p w14:paraId="45D0FE17" w14:textId="77777777" w:rsidR="00921951" w:rsidRPr="00921951" w:rsidRDefault="00921951" w:rsidP="00921951">
      <w:pPr>
        <w:spacing w:before="100" w:beforeAutospacing="1" w:after="100" w:afterAutospacing="1" w:line="240" w:lineRule="auto"/>
        <w:outlineLvl w:val="4"/>
        <w:rPr>
          <w:rFonts w:eastAsia="Times New Roman" w:cstheme="minorHAnsi"/>
          <w:b/>
          <w:bCs/>
          <w:color w:val="000000"/>
          <w:sz w:val="24"/>
          <w:szCs w:val="24"/>
        </w:rPr>
      </w:pPr>
      <w:r>
        <w:rPr>
          <w:rFonts w:eastAsia="Times New Roman" w:cstheme="minorHAnsi"/>
          <w:b/>
          <w:bCs/>
          <w:color w:val="000000"/>
          <w:sz w:val="24"/>
          <w:szCs w:val="24"/>
        </w:rPr>
        <w:t>Procedure for Renewing or Terminating a Continuous Bond</w:t>
      </w:r>
    </w:p>
    <w:p w14:paraId="7DB0A1DA" w14:textId="5B4694E9" w:rsidR="001039B7" w:rsidRPr="005C610C" w:rsidRDefault="00546101" w:rsidP="001039B7">
      <w:pPr>
        <w:pStyle w:val="ListParagraph"/>
        <w:numPr>
          <w:ilvl w:val="0"/>
          <w:numId w:val="1"/>
        </w:numPr>
        <w:rPr>
          <w:rFonts w:cstheme="minorHAnsi"/>
          <w:sz w:val="24"/>
          <w:szCs w:val="24"/>
        </w:rPr>
      </w:pPr>
      <w:r>
        <w:rPr>
          <w:rFonts w:cstheme="minorHAnsi"/>
          <w:sz w:val="24"/>
          <w:szCs w:val="24"/>
        </w:rPr>
        <w:t>Check the Notes tab of the importer’s organization, chances are it will be noted there. If not, then you can r</w:t>
      </w:r>
      <w:r w:rsidR="001039B7" w:rsidRPr="005C610C">
        <w:rPr>
          <w:rFonts w:cstheme="minorHAnsi"/>
          <w:sz w:val="24"/>
          <w:szCs w:val="24"/>
        </w:rPr>
        <w:t>un a search in the Customs Declarations module in CargoWise to see what the importer was charged previously for a Continuous Bond</w:t>
      </w:r>
      <w:r w:rsidR="00143109" w:rsidRPr="005C610C">
        <w:rPr>
          <w:rFonts w:cstheme="minorHAnsi"/>
          <w:sz w:val="24"/>
          <w:szCs w:val="24"/>
        </w:rPr>
        <w:t xml:space="preserve">.  If you cannot find a previous file, ask </w:t>
      </w:r>
      <w:r w:rsidR="00921951">
        <w:rPr>
          <w:rFonts w:cstheme="minorHAnsi"/>
          <w:sz w:val="24"/>
          <w:szCs w:val="24"/>
        </w:rPr>
        <w:t>the team lead for that account</w:t>
      </w:r>
      <w:r w:rsidR="00143109" w:rsidRPr="005C610C">
        <w:rPr>
          <w:rFonts w:cstheme="minorHAnsi"/>
          <w:sz w:val="24"/>
          <w:szCs w:val="24"/>
        </w:rPr>
        <w:t>, they may know more about it</w:t>
      </w:r>
    </w:p>
    <w:p w14:paraId="7C3E1ECE" w14:textId="77777777" w:rsidR="001039B7" w:rsidRPr="005C610C" w:rsidRDefault="001039B7" w:rsidP="001039B7">
      <w:pPr>
        <w:pStyle w:val="ListParagraph"/>
        <w:numPr>
          <w:ilvl w:val="0"/>
          <w:numId w:val="1"/>
        </w:numPr>
        <w:rPr>
          <w:rFonts w:cstheme="minorHAnsi"/>
          <w:sz w:val="24"/>
          <w:szCs w:val="24"/>
        </w:rPr>
      </w:pPr>
      <w:r w:rsidRPr="005C610C">
        <w:rPr>
          <w:rFonts w:cstheme="minorHAnsi"/>
          <w:sz w:val="24"/>
          <w:szCs w:val="24"/>
        </w:rPr>
        <w:t>Contact importer (or the importer’s forwarder if applicable) to see if they wish to renew their bond, and quote the price.</w:t>
      </w:r>
    </w:p>
    <w:p w14:paraId="7630B35A" w14:textId="77777777" w:rsidR="001039B7" w:rsidRPr="005C610C" w:rsidRDefault="001039B7" w:rsidP="001039B7">
      <w:pPr>
        <w:pStyle w:val="ListParagraph"/>
        <w:numPr>
          <w:ilvl w:val="0"/>
          <w:numId w:val="1"/>
        </w:numPr>
        <w:rPr>
          <w:rFonts w:cstheme="minorHAnsi"/>
          <w:sz w:val="24"/>
          <w:szCs w:val="24"/>
        </w:rPr>
      </w:pPr>
      <w:r w:rsidRPr="005C610C">
        <w:rPr>
          <w:rFonts w:cstheme="minorHAnsi"/>
          <w:sz w:val="24"/>
          <w:szCs w:val="24"/>
        </w:rPr>
        <w:t>Let the importer know that this will auto renew on (date), and that if we do not hear from them before 30 days prior, that we will be issuing an invoice to them for the bond.</w:t>
      </w:r>
    </w:p>
    <w:p w14:paraId="455D80E7" w14:textId="77777777" w:rsidR="001039B7" w:rsidRDefault="001039B7" w:rsidP="001039B7">
      <w:pPr>
        <w:pStyle w:val="ListParagraph"/>
        <w:numPr>
          <w:ilvl w:val="0"/>
          <w:numId w:val="1"/>
        </w:numPr>
        <w:rPr>
          <w:rFonts w:cstheme="minorHAnsi"/>
          <w:sz w:val="24"/>
          <w:szCs w:val="24"/>
        </w:rPr>
      </w:pPr>
      <w:r w:rsidRPr="005C610C">
        <w:rPr>
          <w:rFonts w:cstheme="minorHAnsi"/>
          <w:sz w:val="24"/>
          <w:szCs w:val="24"/>
        </w:rPr>
        <w:t xml:space="preserve">Mark your Outlook calendar to send reminders to the importer 60 days out, 30 days out, and 1 week out. </w:t>
      </w:r>
    </w:p>
    <w:p w14:paraId="2F26E57A" w14:textId="77777777" w:rsidR="00676CD3" w:rsidRPr="005C610C" w:rsidRDefault="00676CD3" w:rsidP="001039B7">
      <w:pPr>
        <w:pStyle w:val="ListParagraph"/>
        <w:numPr>
          <w:ilvl w:val="0"/>
          <w:numId w:val="1"/>
        </w:numPr>
        <w:rPr>
          <w:rFonts w:cstheme="minorHAnsi"/>
          <w:sz w:val="24"/>
          <w:szCs w:val="24"/>
        </w:rPr>
      </w:pPr>
      <w:r>
        <w:rPr>
          <w:rFonts w:cstheme="minorHAnsi"/>
          <w:sz w:val="24"/>
          <w:szCs w:val="24"/>
        </w:rPr>
        <w:t xml:space="preserve">If the bond must be terminated, please have a team lead/broker go through the appropriate Surety bond site, for example, Avalon or International Bond and Marine, to set up the bond termination. </w:t>
      </w:r>
    </w:p>
    <w:p w14:paraId="023E3EB5" w14:textId="77777777" w:rsidR="00921951" w:rsidRPr="00921951" w:rsidRDefault="00921951" w:rsidP="00921951">
      <w:pPr>
        <w:spacing w:before="100" w:beforeAutospacing="1" w:after="100" w:afterAutospacing="1" w:line="240" w:lineRule="auto"/>
        <w:outlineLvl w:val="4"/>
        <w:rPr>
          <w:rFonts w:eastAsia="Times New Roman" w:cstheme="minorHAnsi"/>
          <w:b/>
          <w:bCs/>
          <w:color w:val="000000"/>
          <w:sz w:val="24"/>
          <w:szCs w:val="24"/>
        </w:rPr>
      </w:pPr>
      <w:r>
        <w:rPr>
          <w:rFonts w:eastAsia="Times New Roman" w:cstheme="minorHAnsi"/>
          <w:b/>
          <w:bCs/>
          <w:color w:val="000000"/>
          <w:sz w:val="24"/>
          <w:szCs w:val="24"/>
        </w:rPr>
        <w:t>Billing a Continuous Bond</w:t>
      </w:r>
    </w:p>
    <w:p w14:paraId="28F860E0" w14:textId="77777777" w:rsidR="001039B7" w:rsidRPr="005C610C" w:rsidRDefault="001039B7" w:rsidP="001039B7">
      <w:pPr>
        <w:pStyle w:val="ListParagraph"/>
        <w:numPr>
          <w:ilvl w:val="0"/>
          <w:numId w:val="2"/>
        </w:numPr>
        <w:rPr>
          <w:rFonts w:cstheme="minorHAnsi"/>
          <w:sz w:val="24"/>
          <w:szCs w:val="24"/>
        </w:rPr>
      </w:pPr>
      <w:r w:rsidRPr="005C610C">
        <w:rPr>
          <w:rFonts w:cstheme="minorHAnsi"/>
          <w:sz w:val="24"/>
          <w:szCs w:val="24"/>
        </w:rPr>
        <w:t xml:space="preserve">Open a B file. </w:t>
      </w:r>
    </w:p>
    <w:p w14:paraId="5BA930EA" w14:textId="77777777" w:rsidR="001039B7" w:rsidRPr="005C610C" w:rsidRDefault="001039B7" w:rsidP="001039B7">
      <w:pPr>
        <w:pStyle w:val="ListParagraph"/>
        <w:numPr>
          <w:ilvl w:val="0"/>
          <w:numId w:val="2"/>
        </w:numPr>
        <w:rPr>
          <w:rFonts w:cstheme="minorHAnsi"/>
          <w:sz w:val="24"/>
          <w:szCs w:val="24"/>
        </w:rPr>
      </w:pPr>
      <w:r w:rsidRPr="005C610C">
        <w:rPr>
          <w:rFonts w:cstheme="minorHAnsi"/>
          <w:sz w:val="24"/>
          <w:szCs w:val="24"/>
        </w:rPr>
        <w:t>Add the importer in the ‘consignee’ box as you normally would when preparing an entry.</w:t>
      </w:r>
    </w:p>
    <w:p w14:paraId="04C6730D" w14:textId="77777777" w:rsidR="001039B7" w:rsidRPr="005C610C" w:rsidRDefault="001039B7" w:rsidP="001039B7">
      <w:pPr>
        <w:pStyle w:val="ListParagraph"/>
        <w:numPr>
          <w:ilvl w:val="0"/>
          <w:numId w:val="2"/>
        </w:numPr>
        <w:rPr>
          <w:rFonts w:cstheme="minorHAnsi"/>
          <w:sz w:val="24"/>
          <w:szCs w:val="24"/>
        </w:rPr>
      </w:pPr>
      <w:r w:rsidRPr="005C610C">
        <w:rPr>
          <w:rFonts w:cstheme="minorHAnsi"/>
          <w:sz w:val="24"/>
          <w:szCs w:val="24"/>
        </w:rPr>
        <w:t>In the ‘Description’ field, please note ‘Continuous Bond Renewal’</w:t>
      </w:r>
      <w:r w:rsidR="00921951">
        <w:rPr>
          <w:rFonts w:cstheme="minorHAnsi"/>
          <w:sz w:val="24"/>
          <w:szCs w:val="24"/>
        </w:rPr>
        <w:t xml:space="preserve"> and the year(s)</w:t>
      </w:r>
    </w:p>
    <w:p w14:paraId="4C387EBB" w14:textId="1F8D1C26" w:rsidR="001039B7" w:rsidRPr="005C610C" w:rsidRDefault="001039B7" w:rsidP="001039B7">
      <w:pPr>
        <w:pStyle w:val="ListParagraph"/>
        <w:numPr>
          <w:ilvl w:val="0"/>
          <w:numId w:val="2"/>
        </w:numPr>
        <w:rPr>
          <w:rFonts w:cstheme="minorHAnsi"/>
          <w:sz w:val="24"/>
          <w:szCs w:val="24"/>
        </w:rPr>
      </w:pPr>
      <w:r w:rsidRPr="005C610C">
        <w:rPr>
          <w:rFonts w:cstheme="minorHAnsi"/>
          <w:sz w:val="24"/>
          <w:szCs w:val="24"/>
        </w:rPr>
        <w:t>Make sure you are billing the correct party,</w:t>
      </w:r>
      <w:r w:rsidR="00546101">
        <w:rPr>
          <w:rFonts w:cstheme="minorHAnsi"/>
          <w:sz w:val="24"/>
          <w:szCs w:val="24"/>
        </w:rPr>
        <w:t xml:space="preserve"> </w:t>
      </w:r>
      <w:r w:rsidRPr="005C610C">
        <w:rPr>
          <w:rFonts w:cstheme="minorHAnsi"/>
          <w:sz w:val="24"/>
          <w:szCs w:val="24"/>
        </w:rPr>
        <w:t>at the correct rate</w:t>
      </w:r>
      <w:r w:rsidR="00546101">
        <w:rPr>
          <w:rFonts w:cstheme="minorHAnsi"/>
          <w:sz w:val="24"/>
          <w:szCs w:val="24"/>
        </w:rPr>
        <w:t xml:space="preserve">.  If the bond is for a customer who is billed in Canadian dollars (CAD), then the cost of the bond is billed to our Winnipeg office so that they can then bill the customer in the correct currency. </w:t>
      </w:r>
    </w:p>
    <w:p w14:paraId="2E62B0F0" w14:textId="77777777" w:rsidR="00921951" w:rsidRPr="00921951" w:rsidRDefault="00921951" w:rsidP="00921951">
      <w:pPr>
        <w:spacing w:before="100" w:beforeAutospacing="1" w:after="100" w:afterAutospacing="1" w:line="240" w:lineRule="auto"/>
        <w:outlineLvl w:val="4"/>
        <w:rPr>
          <w:rFonts w:eastAsia="Times New Roman" w:cstheme="minorHAnsi"/>
          <w:b/>
          <w:bCs/>
          <w:color w:val="000000"/>
          <w:sz w:val="24"/>
          <w:szCs w:val="24"/>
        </w:rPr>
      </w:pPr>
      <w:r>
        <w:rPr>
          <w:rFonts w:eastAsia="Times New Roman" w:cstheme="minorHAnsi"/>
          <w:b/>
          <w:bCs/>
          <w:color w:val="000000"/>
          <w:sz w:val="24"/>
          <w:szCs w:val="24"/>
        </w:rPr>
        <w:t>Terminating a Continuous Bond</w:t>
      </w:r>
    </w:p>
    <w:p w14:paraId="1B2ABB56" w14:textId="77777777" w:rsidR="00143109" w:rsidRPr="005C610C" w:rsidRDefault="001039B7" w:rsidP="00143109">
      <w:pPr>
        <w:pStyle w:val="ListParagraph"/>
        <w:numPr>
          <w:ilvl w:val="0"/>
          <w:numId w:val="3"/>
        </w:numPr>
        <w:rPr>
          <w:rFonts w:cstheme="minorHAnsi"/>
          <w:sz w:val="24"/>
          <w:szCs w:val="24"/>
        </w:rPr>
      </w:pPr>
      <w:r w:rsidRPr="005C610C">
        <w:rPr>
          <w:rFonts w:cstheme="minorHAnsi"/>
          <w:sz w:val="24"/>
          <w:szCs w:val="24"/>
        </w:rPr>
        <w:t>If a) an importer requests that a bond be cancelled/not renewed, or b) if an importer does not respond to multiple phone or email messages, then it’s time to terminate</w:t>
      </w:r>
      <w:r w:rsidR="00143109" w:rsidRPr="005C610C">
        <w:rPr>
          <w:rFonts w:cstheme="minorHAnsi"/>
          <w:sz w:val="24"/>
          <w:szCs w:val="24"/>
        </w:rPr>
        <w:t xml:space="preserve"> the bond before any proration charges accrue.  Bonds take 10 days to terminate, so ideally we will be able to terminate at least 10 days prior to renewal date. </w:t>
      </w:r>
    </w:p>
    <w:p w14:paraId="5161850B" w14:textId="77777777" w:rsidR="001039B7" w:rsidRPr="005C610C" w:rsidRDefault="00143109" w:rsidP="00143109">
      <w:pPr>
        <w:pStyle w:val="ListParagraph"/>
        <w:numPr>
          <w:ilvl w:val="0"/>
          <w:numId w:val="3"/>
        </w:numPr>
        <w:rPr>
          <w:rFonts w:cstheme="minorHAnsi"/>
          <w:sz w:val="24"/>
          <w:szCs w:val="24"/>
        </w:rPr>
      </w:pPr>
      <w:r w:rsidRPr="005C610C">
        <w:rPr>
          <w:rFonts w:cstheme="minorHAnsi"/>
          <w:sz w:val="24"/>
          <w:szCs w:val="24"/>
        </w:rPr>
        <w:t xml:space="preserve">Ensure that the importer does not have any active, pending shipments with Frontier that may be affected by a bond cancellation.  </w:t>
      </w:r>
    </w:p>
    <w:p w14:paraId="2539D6AE" w14:textId="1D419B32" w:rsidR="00143109" w:rsidRPr="005C610C" w:rsidRDefault="00143109" w:rsidP="003E3E17">
      <w:pPr>
        <w:pStyle w:val="ListParagraph"/>
        <w:numPr>
          <w:ilvl w:val="0"/>
          <w:numId w:val="3"/>
        </w:numPr>
        <w:rPr>
          <w:rFonts w:cstheme="minorHAnsi"/>
          <w:sz w:val="24"/>
          <w:szCs w:val="24"/>
        </w:rPr>
      </w:pPr>
      <w:r w:rsidRPr="005C610C">
        <w:rPr>
          <w:rFonts w:cstheme="minorHAnsi"/>
          <w:sz w:val="24"/>
          <w:szCs w:val="24"/>
        </w:rPr>
        <w:t>If you received a cancellat</w:t>
      </w:r>
      <w:r w:rsidR="003E3E17" w:rsidRPr="005C610C">
        <w:rPr>
          <w:rFonts w:cstheme="minorHAnsi"/>
          <w:sz w:val="24"/>
          <w:szCs w:val="24"/>
        </w:rPr>
        <w:t xml:space="preserve">ion by email, please print out and give to a manager, who will terminate the bond in the system and let </w:t>
      </w:r>
      <w:r w:rsidR="00546101">
        <w:rPr>
          <w:rFonts w:cstheme="minorHAnsi"/>
          <w:sz w:val="24"/>
          <w:szCs w:val="24"/>
        </w:rPr>
        <w:t>Accounting</w:t>
      </w:r>
      <w:r w:rsidR="003E3E17" w:rsidRPr="005C610C">
        <w:rPr>
          <w:rFonts w:cstheme="minorHAnsi"/>
          <w:sz w:val="24"/>
          <w:szCs w:val="24"/>
        </w:rPr>
        <w:t xml:space="preserve"> know not to pay it.  </w:t>
      </w:r>
    </w:p>
    <w:sectPr w:rsidR="00143109" w:rsidRPr="005C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333EA"/>
    <w:multiLevelType w:val="hybridMultilevel"/>
    <w:tmpl w:val="5198A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F5E38"/>
    <w:multiLevelType w:val="multilevel"/>
    <w:tmpl w:val="89B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B27A9"/>
    <w:multiLevelType w:val="hybridMultilevel"/>
    <w:tmpl w:val="A44E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20B2F"/>
    <w:multiLevelType w:val="hybridMultilevel"/>
    <w:tmpl w:val="095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D20EA"/>
    <w:multiLevelType w:val="multilevel"/>
    <w:tmpl w:val="D1AE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17091"/>
    <w:multiLevelType w:val="multilevel"/>
    <w:tmpl w:val="5CC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B7"/>
    <w:rsid w:val="00055F99"/>
    <w:rsid w:val="001039B7"/>
    <w:rsid w:val="00143109"/>
    <w:rsid w:val="001605E8"/>
    <w:rsid w:val="001D4DCE"/>
    <w:rsid w:val="001E601D"/>
    <w:rsid w:val="003E3E17"/>
    <w:rsid w:val="00474B51"/>
    <w:rsid w:val="004C4BF5"/>
    <w:rsid w:val="0050780B"/>
    <w:rsid w:val="00546101"/>
    <w:rsid w:val="005C610C"/>
    <w:rsid w:val="00676CD3"/>
    <w:rsid w:val="006C3C12"/>
    <w:rsid w:val="00921951"/>
    <w:rsid w:val="009C2510"/>
    <w:rsid w:val="00CD40A4"/>
    <w:rsid w:val="00FB03FE"/>
    <w:rsid w:val="00FD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C65E"/>
  <w15:chartTrackingRefBased/>
  <w15:docId w15:val="{C6971F02-07C7-47C8-9F2E-0A661943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D4D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FB03F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9B7"/>
    <w:pPr>
      <w:ind w:left="720"/>
      <w:contextualSpacing/>
    </w:pPr>
  </w:style>
  <w:style w:type="paragraph" w:styleId="NormalWeb">
    <w:name w:val="Normal (Web)"/>
    <w:basedOn w:val="Normal"/>
    <w:uiPriority w:val="99"/>
    <w:unhideWhenUsed/>
    <w:rsid w:val="001D4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DCE"/>
    <w:rPr>
      <w:color w:val="0000FF"/>
      <w:u w:val="single"/>
    </w:rPr>
  </w:style>
  <w:style w:type="character" w:customStyle="1" w:styleId="Heading5Char">
    <w:name w:val="Heading 5 Char"/>
    <w:basedOn w:val="DefaultParagraphFont"/>
    <w:link w:val="Heading5"/>
    <w:uiPriority w:val="9"/>
    <w:rsid w:val="001D4DC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FB03F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94694">
      <w:bodyDiv w:val="1"/>
      <w:marLeft w:val="0"/>
      <w:marRight w:val="0"/>
      <w:marTop w:val="0"/>
      <w:marBottom w:val="0"/>
      <w:divBdr>
        <w:top w:val="none" w:sz="0" w:space="0" w:color="auto"/>
        <w:left w:val="none" w:sz="0" w:space="0" w:color="auto"/>
        <w:bottom w:val="none" w:sz="0" w:space="0" w:color="auto"/>
        <w:right w:val="none" w:sz="0" w:space="0" w:color="auto"/>
      </w:divBdr>
    </w:div>
    <w:div w:id="643657167">
      <w:bodyDiv w:val="1"/>
      <w:marLeft w:val="0"/>
      <w:marRight w:val="0"/>
      <w:marTop w:val="0"/>
      <w:marBottom w:val="0"/>
      <w:divBdr>
        <w:top w:val="none" w:sz="0" w:space="0" w:color="auto"/>
        <w:left w:val="none" w:sz="0" w:space="0" w:color="auto"/>
        <w:bottom w:val="none" w:sz="0" w:space="0" w:color="auto"/>
        <w:right w:val="none" w:sz="0" w:space="0" w:color="auto"/>
      </w:divBdr>
    </w:div>
    <w:div w:id="1060176430">
      <w:bodyDiv w:val="1"/>
      <w:marLeft w:val="0"/>
      <w:marRight w:val="0"/>
      <w:marTop w:val="0"/>
      <w:marBottom w:val="0"/>
      <w:divBdr>
        <w:top w:val="none" w:sz="0" w:space="0" w:color="auto"/>
        <w:left w:val="none" w:sz="0" w:space="0" w:color="auto"/>
        <w:bottom w:val="none" w:sz="0" w:space="0" w:color="auto"/>
        <w:right w:val="none" w:sz="0" w:space="0" w:color="auto"/>
      </w:divBdr>
    </w:div>
    <w:div w:id="1319261040">
      <w:bodyDiv w:val="1"/>
      <w:marLeft w:val="0"/>
      <w:marRight w:val="0"/>
      <w:marTop w:val="0"/>
      <w:marBottom w:val="0"/>
      <w:divBdr>
        <w:top w:val="none" w:sz="0" w:space="0" w:color="auto"/>
        <w:left w:val="none" w:sz="0" w:space="0" w:color="auto"/>
        <w:bottom w:val="none" w:sz="0" w:space="0" w:color="auto"/>
        <w:right w:val="none" w:sz="0" w:space="0" w:color="auto"/>
      </w:divBdr>
    </w:div>
    <w:div w:id="1366249995">
      <w:bodyDiv w:val="1"/>
      <w:marLeft w:val="0"/>
      <w:marRight w:val="0"/>
      <w:marTop w:val="0"/>
      <w:marBottom w:val="0"/>
      <w:divBdr>
        <w:top w:val="none" w:sz="0" w:space="0" w:color="auto"/>
        <w:left w:val="none" w:sz="0" w:space="0" w:color="auto"/>
        <w:bottom w:val="none" w:sz="0" w:space="0" w:color="auto"/>
        <w:right w:val="none" w:sz="0" w:space="0" w:color="auto"/>
      </w:divBdr>
    </w:div>
    <w:div w:id="1521814169">
      <w:bodyDiv w:val="1"/>
      <w:marLeft w:val="0"/>
      <w:marRight w:val="0"/>
      <w:marTop w:val="0"/>
      <w:marBottom w:val="0"/>
      <w:divBdr>
        <w:top w:val="none" w:sz="0" w:space="0" w:color="auto"/>
        <w:left w:val="none" w:sz="0" w:space="0" w:color="auto"/>
        <w:bottom w:val="none" w:sz="0" w:space="0" w:color="auto"/>
        <w:right w:val="none" w:sz="0" w:space="0" w:color="auto"/>
      </w:divBdr>
    </w:div>
    <w:div w:id="1856849220">
      <w:bodyDiv w:val="1"/>
      <w:marLeft w:val="0"/>
      <w:marRight w:val="0"/>
      <w:marTop w:val="0"/>
      <w:marBottom w:val="0"/>
      <w:divBdr>
        <w:top w:val="none" w:sz="0" w:space="0" w:color="auto"/>
        <w:left w:val="none" w:sz="0" w:space="0" w:color="auto"/>
        <w:bottom w:val="none" w:sz="0" w:space="0" w:color="auto"/>
        <w:right w:val="none" w:sz="0" w:space="0" w:color="auto"/>
      </w:divBdr>
    </w:div>
    <w:div w:id="1869024610">
      <w:bodyDiv w:val="1"/>
      <w:marLeft w:val="0"/>
      <w:marRight w:val="0"/>
      <w:marTop w:val="0"/>
      <w:marBottom w:val="0"/>
      <w:divBdr>
        <w:top w:val="none" w:sz="0" w:space="0" w:color="auto"/>
        <w:left w:val="none" w:sz="0" w:space="0" w:color="auto"/>
        <w:bottom w:val="none" w:sz="0" w:space="0" w:color="auto"/>
        <w:right w:val="none" w:sz="0" w:space="0" w:color="auto"/>
      </w:divBdr>
    </w:div>
    <w:div w:id="21197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istnet.com/sub/glossary/antidumping_duty.html" TargetMode="External"/><Relationship Id="rId21" Type="http://schemas.openxmlformats.org/officeDocument/2006/relationships/hyperlink" Target="http://www.gistnet.com/sub/glossary/customs_formal_entry.html" TargetMode="External"/><Relationship Id="rId42" Type="http://schemas.openxmlformats.org/officeDocument/2006/relationships/hyperlink" Target="http://www.gistnet.com/sub/glossary/cfs.html" TargetMode="External"/><Relationship Id="rId47" Type="http://schemas.openxmlformats.org/officeDocument/2006/relationships/hyperlink" Target="http://www.gistnet.com/sub/glossary/customs_bond.html" TargetMode="External"/><Relationship Id="rId63" Type="http://schemas.openxmlformats.org/officeDocument/2006/relationships/hyperlink" Target="http://www.gistnet.com/sub/glossary/surety_bond.html" TargetMode="External"/><Relationship Id="rId68" Type="http://schemas.openxmlformats.org/officeDocument/2006/relationships/hyperlink" Target="http://www.gistnet.com/sub/glossary/entry_liquidation.html" TargetMode="External"/><Relationship Id="rId84" Type="http://schemas.openxmlformats.org/officeDocument/2006/relationships/hyperlink" Target="http://www.gistnet.com/library/2/exhibits/CBP_forms.html" TargetMode="External"/><Relationship Id="rId16" Type="http://schemas.openxmlformats.org/officeDocument/2006/relationships/hyperlink" Target="http://www.gistnet.com/sub/glossary/importer_power_of_attorney.html" TargetMode="External"/><Relationship Id="rId11" Type="http://schemas.openxmlformats.org/officeDocument/2006/relationships/hyperlink" Target="http://www.gistnet.com/sub/glossary/single_transaction_bond.html" TargetMode="External"/><Relationship Id="rId32" Type="http://schemas.openxmlformats.org/officeDocument/2006/relationships/hyperlink" Target="http://www.gistnet.com/sub/glossary/antidumping.html" TargetMode="External"/><Relationship Id="rId37" Type="http://schemas.openxmlformats.org/officeDocument/2006/relationships/hyperlink" Target="http://www.gistnet.com/sub/glossary/temporary_importation_bond.html" TargetMode="External"/><Relationship Id="rId53" Type="http://schemas.openxmlformats.org/officeDocument/2006/relationships/hyperlink" Target="http://www.gistnet.com/sub/glossary/quota.html" TargetMode="External"/><Relationship Id="rId58" Type="http://schemas.openxmlformats.org/officeDocument/2006/relationships/hyperlink" Target="http://www.gistnet.com/sub/glossary/countervailing_duty.html" TargetMode="External"/><Relationship Id="rId74" Type="http://schemas.openxmlformats.org/officeDocument/2006/relationships/hyperlink" Target="http://www.gistnet.com/sub/glossary/ultimate_consignee.html" TargetMode="External"/><Relationship Id="rId79" Type="http://schemas.openxmlformats.org/officeDocument/2006/relationships/hyperlink" Target="http://www.gistnet.com/sub/glossary/customs_penalty.html" TargetMode="External"/><Relationship Id="rId5" Type="http://schemas.openxmlformats.org/officeDocument/2006/relationships/hyperlink" Target="http://www.gistnet.com/sub/glossary/importer_customs_bond.html" TargetMode="External"/><Relationship Id="rId19" Type="http://schemas.openxmlformats.org/officeDocument/2006/relationships/hyperlink" Target="http://www.gistnet.com/sub/glossary/surety.html" TargetMode="External"/><Relationship Id="rId14" Type="http://schemas.openxmlformats.org/officeDocument/2006/relationships/hyperlink" Target="http://www.gistnet.com/sub/glossary/customs_broker.html" TargetMode="External"/><Relationship Id="rId22" Type="http://schemas.openxmlformats.org/officeDocument/2006/relationships/hyperlink" Target="http://www.gistnet.com/sub/glossary/continuous_bond.html" TargetMode="External"/><Relationship Id="rId27" Type="http://schemas.openxmlformats.org/officeDocument/2006/relationships/hyperlink" Target="http://www.gistnet.com/sub/glossary/countervailing_duty.html" TargetMode="External"/><Relationship Id="rId30" Type="http://schemas.openxmlformats.org/officeDocument/2006/relationships/hyperlink" Target="http://www.gistnet.com/sub/glossary/continuous_bond.html" TargetMode="External"/><Relationship Id="rId35" Type="http://schemas.openxmlformats.org/officeDocument/2006/relationships/hyperlink" Target="http://www.gistnet.com/sub/glossary/quota.html" TargetMode="External"/><Relationship Id="rId43" Type="http://schemas.openxmlformats.org/officeDocument/2006/relationships/hyperlink" Target="http://www.gistnet.com/sub/glossary/bonded_warehouse.html" TargetMode="External"/><Relationship Id="rId48" Type="http://schemas.openxmlformats.org/officeDocument/2006/relationships/hyperlink" Target="http://www.gistnet.com/sub/glossary/transportation_under_bond.html" TargetMode="External"/><Relationship Id="rId56" Type="http://schemas.openxmlformats.org/officeDocument/2006/relationships/hyperlink" Target="http://www.gistnet.com/sub/glossary/customs_duty.html" TargetMode="External"/><Relationship Id="rId64" Type="http://schemas.openxmlformats.org/officeDocument/2006/relationships/hyperlink" Target="http://www.gistnet.com/sub/glossary/insurance_policy.html" TargetMode="External"/><Relationship Id="rId69" Type="http://schemas.openxmlformats.org/officeDocument/2006/relationships/hyperlink" Target="http://www.gistnet.com/sub/glossary/importer_customs_bond.html" TargetMode="External"/><Relationship Id="rId77" Type="http://schemas.openxmlformats.org/officeDocument/2006/relationships/hyperlink" Target="http://www.gistnet.com/sub/glossary/cbp.html" TargetMode="External"/><Relationship Id="rId8" Type="http://schemas.openxmlformats.org/officeDocument/2006/relationships/hyperlink" Target="http://www.gistnet.com/sub/glossary/formal_customs_entry.html" TargetMode="External"/><Relationship Id="rId51" Type="http://schemas.openxmlformats.org/officeDocument/2006/relationships/hyperlink" Target="http://www.gistnet.com/sub/glossary/ace.html" TargetMode="External"/><Relationship Id="rId72" Type="http://schemas.openxmlformats.org/officeDocument/2006/relationships/hyperlink" Target="http://www.gistnet.com/sub/glossary/consignee.html" TargetMode="External"/><Relationship Id="rId80" Type="http://schemas.openxmlformats.org/officeDocument/2006/relationships/hyperlink" Target="http://www.gistnet.com/sub/glossary/liquidated_damages.html" TargetMode="External"/><Relationship Id="rId85" Type="http://schemas.openxmlformats.org/officeDocument/2006/relationships/hyperlink" Target="http://www.gistnet.com/sub/glossary/abi_filer.html" TargetMode="External"/><Relationship Id="rId3" Type="http://schemas.openxmlformats.org/officeDocument/2006/relationships/settings" Target="settings.xml"/><Relationship Id="rId12" Type="http://schemas.openxmlformats.org/officeDocument/2006/relationships/hyperlink" Target="http://www.gistnet.com/sub/glossary/rider.html" TargetMode="External"/><Relationship Id="rId17" Type="http://schemas.openxmlformats.org/officeDocument/2006/relationships/hyperlink" Target="http://www.gistnet.com/sub/glossary/customs_broker.html" TargetMode="External"/><Relationship Id="rId25" Type="http://schemas.openxmlformats.org/officeDocument/2006/relationships/hyperlink" Target="http://www.gistnet.com/sub/glossary/temporary_import_bond.html" TargetMode="External"/><Relationship Id="rId33" Type="http://schemas.openxmlformats.org/officeDocument/2006/relationships/hyperlink" Target="http://www.gistnet.com/sub/glossary/countervailing.html" TargetMode="External"/><Relationship Id="rId38" Type="http://schemas.openxmlformats.org/officeDocument/2006/relationships/hyperlink" Target="http://www.gistnet.com/sub/glossary/pga.html" TargetMode="External"/><Relationship Id="rId46" Type="http://schemas.openxmlformats.org/officeDocument/2006/relationships/hyperlink" Target="http://www.gistnet.com/sub/glossary/customs_formal_entry.html" TargetMode="External"/><Relationship Id="rId59" Type="http://schemas.openxmlformats.org/officeDocument/2006/relationships/hyperlink" Target="http://www.gistnet.com/sub/glossary/anti-dumping_duty.html" TargetMode="External"/><Relationship Id="rId67" Type="http://schemas.openxmlformats.org/officeDocument/2006/relationships/hyperlink" Target="http://www.gistnet.com/sub/glossary/demand_for_redelivery.html" TargetMode="External"/><Relationship Id="rId20" Type="http://schemas.openxmlformats.org/officeDocument/2006/relationships/hyperlink" Target="http://www.gistnet.com/sub/glossary/principal.html" TargetMode="External"/><Relationship Id="rId41" Type="http://schemas.openxmlformats.org/officeDocument/2006/relationships/hyperlink" Target="http://www.gistnet.com/sub/glossary/transportation_carrier.html" TargetMode="External"/><Relationship Id="rId54" Type="http://schemas.openxmlformats.org/officeDocument/2006/relationships/hyperlink" Target="http://www.gistnet.com/sub/glossary/countervailing_duty.html" TargetMode="External"/><Relationship Id="rId62" Type="http://schemas.openxmlformats.org/officeDocument/2006/relationships/hyperlink" Target="http://www.gistnet.com/sub/glossary/abi_filer.html" TargetMode="External"/><Relationship Id="rId70" Type="http://schemas.openxmlformats.org/officeDocument/2006/relationships/hyperlink" Target="http://www.gistnet.com/sub/glossary/principal.html" TargetMode="External"/><Relationship Id="rId75" Type="http://schemas.openxmlformats.org/officeDocument/2006/relationships/hyperlink" Target="http://www.gistnet.com/sub/glossary/beneficial_interest.html" TargetMode="External"/><Relationship Id="rId83" Type="http://schemas.openxmlformats.org/officeDocument/2006/relationships/hyperlink" Target="http://www.gistnet.com/library/2/exhibits/CF7501-description.html" TargetMode="External"/><Relationship Id="rId1" Type="http://schemas.openxmlformats.org/officeDocument/2006/relationships/numbering" Target="numbering.xml"/><Relationship Id="rId6" Type="http://schemas.openxmlformats.org/officeDocument/2006/relationships/hyperlink" Target="http://www.gistnet.com/sub/glossary/formal_entry.html" TargetMode="External"/><Relationship Id="rId15" Type="http://schemas.openxmlformats.org/officeDocument/2006/relationships/hyperlink" Target="http://www.gistnet.com/sub/glossary/surety.html" TargetMode="External"/><Relationship Id="rId23" Type="http://schemas.openxmlformats.org/officeDocument/2006/relationships/hyperlink" Target="http://www.gistnet.com/sub/glossary/customs_entered_value.html" TargetMode="External"/><Relationship Id="rId28" Type="http://schemas.openxmlformats.org/officeDocument/2006/relationships/hyperlink" Target="http://www.gistnet.com/sub/glossary/countervailing_duty_bond.html" TargetMode="External"/><Relationship Id="rId36" Type="http://schemas.openxmlformats.org/officeDocument/2006/relationships/hyperlink" Target="http://www.gistnet.com/sub/glossary/visa.html" TargetMode="External"/><Relationship Id="rId49" Type="http://schemas.openxmlformats.org/officeDocument/2006/relationships/hyperlink" Target="http://www.gistnet.com/sub/glossary/single_transaction_bond.html" TargetMode="External"/><Relationship Id="rId57" Type="http://schemas.openxmlformats.org/officeDocument/2006/relationships/hyperlink" Target="http://www.gistnet.com/sub/glossary/quota.html" TargetMode="External"/><Relationship Id="rId10" Type="http://schemas.openxmlformats.org/officeDocument/2006/relationships/hyperlink" Target="http://www.gistnet.com/sub/glossary/continuous_bond.html" TargetMode="External"/><Relationship Id="rId31" Type="http://schemas.openxmlformats.org/officeDocument/2006/relationships/hyperlink" Target="http://www.gistnet.com/sub/glossary/us_goods_returned.html" TargetMode="External"/><Relationship Id="rId44" Type="http://schemas.openxmlformats.org/officeDocument/2006/relationships/hyperlink" Target="http://www.gistnet.com/sub/glossary/principal.html" TargetMode="External"/><Relationship Id="rId52" Type="http://schemas.openxmlformats.org/officeDocument/2006/relationships/hyperlink" Target="http://www.gistnet.com/sub/glossary/customs_broker.html" TargetMode="External"/><Relationship Id="rId60" Type="http://schemas.openxmlformats.org/officeDocument/2006/relationships/hyperlink" Target="http://www.gistnet.com/sub/glossary/customs_duty.html" TargetMode="External"/><Relationship Id="rId65" Type="http://schemas.openxmlformats.org/officeDocument/2006/relationships/hyperlink" Target="http://www.gistnet.com/sub/glossary/customs_duty.html" TargetMode="External"/><Relationship Id="rId73" Type="http://schemas.openxmlformats.org/officeDocument/2006/relationships/hyperlink" Target="http://www.gistnet.com/sub/glossary/transport_document.html" TargetMode="External"/><Relationship Id="rId78" Type="http://schemas.openxmlformats.org/officeDocument/2006/relationships/hyperlink" Target="http://www.gistnet.com/sub/glossary/surety.html" TargetMode="External"/><Relationship Id="rId81" Type="http://schemas.openxmlformats.org/officeDocument/2006/relationships/hyperlink" Target="http://www.gistnet.com/sub/glossary/constructive_seizure.html"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stnet.com/sub/glossary/returned_us_product.html" TargetMode="External"/><Relationship Id="rId13" Type="http://schemas.openxmlformats.org/officeDocument/2006/relationships/hyperlink" Target="http://www.gistnet.com/sub/glossary/countervailing_duty_bond.html" TargetMode="External"/><Relationship Id="rId18" Type="http://schemas.openxmlformats.org/officeDocument/2006/relationships/hyperlink" Target="http://www.gistnet.com/sub/glossary/customs_bond.html" TargetMode="External"/><Relationship Id="rId39" Type="http://schemas.openxmlformats.org/officeDocument/2006/relationships/hyperlink" Target="http://www.gistnet.com/sub/glossary/surety_bond.html" TargetMode="External"/><Relationship Id="rId34" Type="http://schemas.openxmlformats.org/officeDocument/2006/relationships/hyperlink" Target="http://www.gistnet.com/sub/glossary/partner_government_agency.html" TargetMode="External"/><Relationship Id="rId50" Type="http://schemas.openxmlformats.org/officeDocument/2006/relationships/hyperlink" Target="http://www.gistnet.com/sub/glossary/principal.html" TargetMode="External"/><Relationship Id="rId55" Type="http://schemas.openxmlformats.org/officeDocument/2006/relationships/hyperlink" Target="http://www.gistnet.com/sub/glossary/customs_entered_value.html" TargetMode="External"/><Relationship Id="rId76" Type="http://schemas.openxmlformats.org/officeDocument/2006/relationships/hyperlink" Target="http://www.gistnet.com/sub/glossary/customs_broker.html" TargetMode="External"/><Relationship Id="rId7" Type="http://schemas.openxmlformats.org/officeDocument/2006/relationships/hyperlink" Target="http://www.gistnet.com/sub/glossary/customs_clearance.html" TargetMode="External"/><Relationship Id="rId71" Type="http://schemas.openxmlformats.org/officeDocument/2006/relationships/hyperlink" Target="http://www.gistnet.com/sub/glossary/importer_of_record.html" TargetMode="External"/><Relationship Id="rId2" Type="http://schemas.openxmlformats.org/officeDocument/2006/relationships/styles" Target="styles.xml"/><Relationship Id="rId29" Type="http://schemas.openxmlformats.org/officeDocument/2006/relationships/hyperlink" Target="http://www.gistnet.com/sub/glossary/customs_broker.html" TargetMode="External"/><Relationship Id="rId24" Type="http://schemas.openxmlformats.org/officeDocument/2006/relationships/hyperlink" Target="http://www.gistnet.com/sub/glossary/estimated_duties.html" TargetMode="External"/><Relationship Id="rId40" Type="http://schemas.openxmlformats.org/officeDocument/2006/relationships/hyperlink" Target="http://www.gistnet.com/sub/glossary/importer.html" TargetMode="External"/><Relationship Id="rId45" Type="http://schemas.openxmlformats.org/officeDocument/2006/relationships/hyperlink" Target="http://www.gistnet.com/sub/glossary/surety.html" TargetMode="External"/><Relationship Id="rId66" Type="http://schemas.openxmlformats.org/officeDocument/2006/relationships/hyperlink" Target="http://www.gistnet.com/sub/glossary/ir_tax.html" TargetMode="External"/><Relationship Id="rId87" Type="http://schemas.openxmlformats.org/officeDocument/2006/relationships/theme" Target="theme/theme1.xml"/><Relationship Id="rId61" Type="http://schemas.openxmlformats.org/officeDocument/2006/relationships/hyperlink" Target="http://www.gistnet.com/sub/glossary/customs_broker.html" TargetMode="External"/><Relationship Id="rId82" Type="http://schemas.openxmlformats.org/officeDocument/2006/relationships/hyperlink" Target="http://www.gistnet.com/sub/glossary/benefici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Bosques</dc:creator>
  <cp:keywords/>
  <dc:description/>
  <cp:lastModifiedBy>Lisa Bosques</cp:lastModifiedBy>
  <cp:revision>2</cp:revision>
  <dcterms:created xsi:type="dcterms:W3CDTF">2022-01-08T01:58:00Z</dcterms:created>
  <dcterms:modified xsi:type="dcterms:W3CDTF">2022-01-08T01:58:00Z</dcterms:modified>
</cp:coreProperties>
</file>