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70040" w14:textId="77777777" w:rsidR="008F2A27" w:rsidRDefault="00CB1BFA" w:rsidP="00CB1BFA">
      <w:pPr>
        <w:pStyle w:val="Title"/>
      </w:pPr>
      <w:r>
        <w:t>Common Rejects</w:t>
      </w:r>
    </w:p>
    <w:p w14:paraId="06A17B0F" w14:textId="3784752E" w:rsidR="00CB1BFA" w:rsidRDefault="00CB1BFA" w:rsidP="00CB1BFA">
      <w:pPr>
        <w:pStyle w:val="Heading1"/>
      </w:pPr>
      <w:r>
        <w:t>System Reject</w:t>
      </w:r>
      <w:r w:rsidR="00325A0A">
        <w:t>s</w:t>
      </w:r>
    </w:p>
    <w:p w14:paraId="7BFA9FD3" w14:textId="5B41754B" w:rsidR="00CB1BFA" w:rsidRDefault="00CB1BFA" w:rsidP="007A3BEC">
      <w:pPr>
        <w:pStyle w:val="NoSpacing"/>
      </w:pPr>
      <w:r>
        <w:t>Some transmission</w:t>
      </w:r>
      <w:r w:rsidR="00C8206D">
        <w:t>s</w:t>
      </w:r>
      <w:r>
        <w:t xml:space="preserve"> won’t even make it to CBSA because something is wrong or missing in the data</w:t>
      </w:r>
      <w:r w:rsidR="00C8206D">
        <w:t xml:space="preserve"> in our system</w:t>
      </w:r>
      <w:r>
        <w:t>. The typical message for this will be ‘unable to process query/request’ possibly followed by a</w:t>
      </w:r>
      <w:r w:rsidR="00C8206D">
        <w:t xml:space="preserve"> vague description</w:t>
      </w:r>
      <w:r>
        <w:t xml:space="preserve"> of where the problem occurred, such as ‘getting invoice line</w:t>
      </w:r>
      <w:r w:rsidR="00036406">
        <w:t>s</w:t>
      </w:r>
      <w:r>
        <w:t xml:space="preserve"> details’.</w:t>
      </w:r>
    </w:p>
    <w:p w14:paraId="58D25664" w14:textId="77777777" w:rsidR="0042210A" w:rsidRDefault="0042210A" w:rsidP="007A3BEC">
      <w:pPr>
        <w:pStyle w:val="NoSpacing"/>
      </w:pPr>
      <w:r w:rsidRPr="0042210A">
        <w:rPr>
          <w:noProof/>
        </w:rPr>
        <w:drawing>
          <wp:inline distT="0" distB="0" distL="0" distR="0" wp14:anchorId="107E9494" wp14:editId="6316A743">
            <wp:extent cx="6406856" cy="5777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39940" cy="589713"/>
                    </a:xfrm>
                    <a:prstGeom prst="rect">
                      <a:avLst/>
                    </a:prstGeom>
                  </pic:spPr>
                </pic:pic>
              </a:graphicData>
            </a:graphic>
          </wp:inline>
        </w:drawing>
      </w:r>
    </w:p>
    <w:p w14:paraId="1849142B" w14:textId="5D783B0A" w:rsidR="0042210A" w:rsidRDefault="0042210A" w:rsidP="007A3BEC">
      <w:pPr>
        <w:pStyle w:val="NoSpacing"/>
      </w:pPr>
      <w:r>
        <w:t>The most common reason for this reject is a $0 or missing value on one of the lines, but there could be other causes such as an invoice without any lines attached, or invalid characters</w:t>
      </w:r>
      <w:r w:rsidR="00C8206D">
        <w:t xml:space="preserve"> somewhere in the invoice or lines</w:t>
      </w:r>
      <w:r>
        <w:t>.</w:t>
      </w:r>
    </w:p>
    <w:p w14:paraId="687DD5F5" w14:textId="77777777" w:rsidR="007A3BEC" w:rsidRDefault="007A3BEC" w:rsidP="007A3BEC">
      <w:pPr>
        <w:pStyle w:val="NoSpacing"/>
      </w:pPr>
    </w:p>
    <w:p w14:paraId="4697874B" w14:textId="5FCE22A2" w:rsidR="0042210A" w:rsidRDefault="0042210A" w:rsidP="0042210A">
      <w:pPr>
        <w:pStyle w:val="Heading1"/>
      </w:pPr>
      <w:r>
        <w:t>Syntax Rej</w:t>
      </w:r>
      <w:r w:rsidR="007A3BEC">
        <w:t>e</w:t>
      </w:r>
      <w:r>
        <w:t>ct</w:t>
      </w:r>
      <w:r w:rsidR="00325A0A">
        <w:t>s</w:t>
      </w:r>
    </w:p>
    <w:p w14:paraId="3E2E21A3" w14:textId="1F0FD920" w:rsidR="0042210A" w:rsidRDefault="0042210A" w:rsidP="007A3BEC">
      <w:pPr>
        <w:pStyle w:val="NoSpacing"/>
      </w:pPr>
      <w:r>
        <w:t xml:space="preserve">Syntax rejects are ones </w:t>
      </w:r>
      <w:r w:rsidR="00E80612">
        <w:t>where the message never fully made it through to CBSA’s system, getting</w:t>
      </w:r>
      <w:r w:rsidR="00E8780D">
        <w:t xml:space="preserve"> bounced back by during the</w:t>
      </w:r>
      <w:r w:rsidR="006765F4">
        <w:t>ir</w:t>
      </w:r>
      <w:r w:rsidR="00E8780D">
        <w:t xml:space="preserve"> initial data check</w:t>
      </w:r>
      <w:r w:rsidR="006765F4">
        <w:t xml:space="preserve">, because the data does not match the specified format. Common </w:t>
      </w:r>
      <w:r>
        <w:t xml:space="preserve">rejects </w:t>
      </w:r>
      <w:r w:rsidR="006765F4">
        <w:t>of this type</w:t>
      </w:r>
      <w:r>
        <w:t xml:space="preserve"> include </w:t>
      </w:r>
      <w:r w:rsidR="002412EC">
        <w:t>‘invalid characters’</w:t>
      </w:r>
      <w:r w:rsidR="00E8780D">
        <w:t>,</w:t>
      </w:r>
      <w:r w:rsidR="002412EC">
        <w:t xml:space="preserve"> </w:t>
      </w:r>
      <w:r>
        <w:t>‘element too long</w:t>
      </w:r>
      <w:r w:rsidR="00E46989">
        <w:t xml:space="preserve"> or short</w:t>
      </w:r>
      <w:r>
        <w:t xml:space="preserve">’, </w:t>
      </w:r>
      <w:r w:rsidR="0079187E">
        <w:t xml:space="preserve">or ‘mandatory element missing’, </w:t>
      </w:r>
      <w:r>
        <w:t xml:space="preserve">usually followed by an indication of which </w:t>
      </w:r>
      <w:r w:rsidR="00CA11C2">
        <w:t>segment</w:t>
      </w:r>
      <w:r w:rsidR="0079187E">
        <w:t xml:space="preserve"> of</w:t>
      </w:r>
      <w:r>
        <w:t xml:space="preserve"> data contains the error</w:t>
      </w:r>
      <w:r w:rsidR="00E80612">
        <w:t>. Some common segments include</w:t>
      </w:r>
      <w:r w:rsidR="006765F4">
        <w:t>:</w:t>
      </w:r>
    </w:p>
    <w:p w14:paraId="0ACD3872" w14:textId="77777777" w:rsidR="00EE12C8" w:rsidRDefault="00E8780D" w:rsidP="007A3BEC">
      <w:pPr>
        <w:pStyle w:val="NoSpacing"/>
        <w:numPr>
          <w:ilvl w:val="0"/>
          <w:numId w:val="3"/>
        </w:numPr>
      </w:pPr>
      <w:r w:rsidRPr="00EE12C8">
        <w:rPr>
          <w:b/>
        </w:rPr>
        <w:t>DOC</w:t>
      </w:r>
      <w:r>
        <w:t xml:space="preserve"> refers to a PO/Invoice identification, so the error will be in the invoice number or PO number on one of the invoices.</w:t>
      </w:r>
    </w:p>
    <w:p w14:paraId="7DFB12CD" w14:textId="77777777" w:rsidR="00E8780D" w:rsidRDefault="00E8780D" w:rsidP="007A3BEC">
      <w:pPr>
        <w:pStyle w:val="NoSpacing"/>
        <w:numPr>
          <w:ilvl w:val="0"/>
          <w:numId w:val="3"/>
        </w:numPr>
      </w:pPr>
      <w:r w:rsidRPr="00EE12C8">
        <w:rPr>
          <w:b/>
        </w:rPr>
        <w:t>NAD</w:t>
      </w:r>
      <w:r>
        <w:t xml:space="preserve"> refers to a name and address, so the error will be in the name or address of one of the trade chain partners. Possibly the shipper or consignee on one of the invoices, the delivery party or destination, or even the importer (although that’s unlikely unless it’s a new importer that was recently added).</w:t>
      </w:r>
    </w:p>
    <w:p w14:paraId="240D34D1" w14:textId="77777777" w:rsidR="00EE12C8" w:rsidRDefault="00E8780D" w:rsidP="007A3BEC">
      <w:pPr>
        <w:pStyle w:val="NoSpacing"/>
        <w:numPr>
          <w:ilvl w:val="0"/>
          <w:numId w:val="3"/>
        </w:numPr>
      </w:pPr>
      <w:r w:rsidRPr="00E8780D">
        <w:rPr>
          <w:b/>
        </w:rPr>
        <w:t>IMD</w:t>
      </w:r>
      <w:r>
        <w:t xml:space="preserve"> refers to an item description, so the error will be in the description on one of the lines.</w:t>
      </w:r>
    </w:p>
    <w:p w14:paraId="29AFF099" w14:textId="77777777" w:rsidR="00CA11C2" w:rsidRDefault="00CA11C2" w:rsidP="007A3BEC">
      <w:pPr>
        <w:pStyle w:val="NoSpacing"/>
        <w:numPr>
          <w:ilvl w:val="0"/>
          <w:numId w:val="3"/>
        </w:numPr>
      </w:pPr>
      <w:r w:rsidRPr="00EE12C8">
        <w:rPr>
          <w:b/>
        </w:rPr>
        <w:t xml:space="preserve">MEA </w:t>
      </w:r>
      <w:r>
        <w:t>refers to the unit of measure, so the error could be anywhere a unit of measure is indicated, such as the quantity or weight on the header, the quantity or weight on an invoice, or the quantity on a line.</w:t>
      </w:r>
    </w:p>
    <w:p w14:paraId="5DADD9AC" w14:textId="77777777" w:rsidR="00CA11C2" w:rsidRPr="00EE12C8" w:rsidRDefault="00CA11C2" w:rsidP="007A3BEC">
      <w:pPr>
        <w:pStyle w:val="NoSpacing"/>
        <w:numPr>
          <w:ilvl w:val="0"/>
          <w:numId w:val="4"/>
        </w:numPr>
        <w:rPr>
          <w:rStyle w:val="SubtleReference"/>
          <w:i/>
        </w:rPr>
      </w:pPr>
      <w:r w:rsidRPr="00EE12C8">
        <w:rPr>
          <w:rStyle w:val="SubtleReference"/>
          <w:i/>
        </w:rPr>
        <w:t xml:space="preserve">Refer to the bottom of this document for a full list of </w:t>
      </w:r>
      <w:r w:rsidR="00021B5C" w:rsidRPr="00EE12C8">
        <w:rPr>
          <w:rStyle w:val="SubtleReference"/>
          <w:i/>
        </w:rPr>
        <w:t>data segments</w:t>
      </w:r>
      <w:r w:rsidRPr="00EE12C8">
        <w:rPr>
          <w:rStyle w:val="SubtleReference"/>
          <w:i/>
        </w:rPr>
        <w:t>.</w:t>
      </w:r>
    </w:p>
    <w:p w14:paraId="71848F3F" w14:textId="77777777" w:rsidR="0079187E" w:rsidRDefault="0079187E" w:rsidP="007A3BEC">
      <w:pPr>
        <w:pStyle w:val="NoSpacing"/>
      </w:pPr>
      <w:r>
        <w:t xml:space="preserve">If the error repeats itself within the same reject message, </w:t>
      </w:r>
      <w:r w:rsidR="00E46989">
        <w:t xml:space="preserve">it could indicate </w:t>
      </w:r>
      <w:r>
        <w:t>there are multiple errors that need to be fixed</w:t>
      </w:r>
      <w:r w:rsidR="00E46989">
        <w:t>, but sometimes it’s still just one error.</w:t>
      </w:r>
    </w:p>
    <w:p w14:paraId="05785615" w14:textId="01CF66D2" w:rsidR="00E8780D" w:rsidRDefault="00E8780D" w:rsidP="007A3BEC">
      <w:pPr>
        <w:pStyle w:val="NoSpacing"/>
      </w:pPr>
      <w:r>
        <w:t xml:space="preserve">With syntax rejects, </w:t>
      </w:r>
      <w:r w:rsidR="006765F4">
        <w:t>once</w:t>
      </w:r>
      <w:r>
        <w:t xml:space="preserve"> the error </w:t>
      </w:r>
      <w:r w:rsidR="00021B5C">
        <w:t>has been</w:t>
      </w:r>
      <w:r>
        <w:t xml:space="preserve"> fixed the entry must be re-transmitted a</w:t>
      </w:r>
      <w:r w:rsidR="006765F4">
        <w:t>gain a</w:t>
      </w:r>
      <w:r>
        <w:t xml:space="preserve">s an ‘original’ message since the data never </w:t>
      </w:r>
      <w:r w:rsidR="006765F4">
        <w:t xml:space="preserve">fully made it through to </w:t>
      </w:r>
      <w:r w:rsidR="00E80612">
        <w:t>Customs’</w:t>
      </w:r>
      <w:r w:rsidR="006765F4">
        <w:t xml:space="preserve"> system the first time.</w:t>
      </w:r>
    </w:p>
    <w:p w14:paraId="748B1035" w14:textId="77777777" w:rsidR="002412EC" w:rsidRDefault="002412EC" w:rsidP="002412EC">
      <w:pPr>
        <w:pStyle w:val="Heading2"/>
      </w:pPr>
      <w:r>
        <w:t>Invalid Characters</w:t>
      </w:r>
    </w:p>
    <w:p w14:paraId="15F9C462" w14:textId="77777777" w:rsidR="006F6D45" w:rsidRDefault="006F6D45" w:rsidP="007A3BEC">
      <w:pPr>
        <w:pStyle w:val="NoSpacing"/>
      </w:pPr>
      <w:r>
        <w:t xml:space="preserve">For invalid characters, it could be a strange character like @ or </w:t>
      </w:r>
      <w:r>
        <w:rPr>
          <w:rFonts w:ascii="Arial" w:hAnsi="Arial" w:cs="Arial"/>
          <w:sz w:val="26"/>
          <w:szCs w:val="26"/>
        </w:rPr>
        <w:t xml:space="preserve">¿ </w:t>
      </w:r>
      <w:r>
        <w:t>or</w:t>
      </w:r>
      <w:r>
        <w:rPr>
          <w:rFonts w:ascii="Arial" w:hAnsi="Arial" w:cs="Arial"/>
          <w:sz w:val="26"/>
          <w:szCs w:val="26"/>
        </w:rPr>
        <w:t xml:space="preserve"> □ </w:t>
      </w:r>
      <w:r>
        <w:t>or even just an extra blank space somewhere</w:t>
      </w:r>
      <w:r w:rsidR="008E0F6E">
        <w:t xml:space="preserve"> that doesn’t belong</w:t>
      </w:r>
      <w:r>
        <w:t xml:space="preserve"> (</w:t>
      </w:r>
      <w:proofErr w:type="spellStart"/>
      <w:r w:rsidR="008E0F6E">
        <w:t>eg.</w:t>
      </w:r>
      <w:proofErr w:type="spellEnd"/>
      <w:r w:rsidR="008E0F6E">
        <w:t xml:space="preserve"> extra blank spaces after the invoice number).</w:t>
      </w:r>
      <w:r>
        <w:t xml:space="preserve"> </w:t>
      </w:r>
      <w:r w:rsidR="0081725E">
        <w:t xml:space="preserve">Another common one is an </w:t>
      </w:r>
      <w:r w:rsidR="0081725E" w:rsidRPr="006765F4">
        <w:t>apostrophe that just looks different than the other apostrophes in the file (</w:t>
      </w:r>
      <w:r w:rsidR="0081725E" w:rsidRPr="006765F4">
        <w:rPr>
          <w:rFonts w:ascii="Arial" w:hAnsi="Arial" w:cs="Arial"/>
        </w:rPr>
        <w:t>ʼ</w:t>
      </w:r>
      <w:r w:rsidR="0081725E" w:rsidRPr="006765F4">
        <w:t xml:space="preserve"> instead of </w:t>
      </w:r>
      <w:r w:rsidR="0081725E" w:rsidRPr="006765F4">
        <w:rPr>
          <w:rFonts w:ascii="Arial" w:hAnsi="Arial" w:cs="Arial"/>
        </w:rPr>
        <w:t>ˈ</w:t>
      </w:r>
      <w:r w:rsidR="0081725E" w:rsidRPr="006765F4">
        <w:t xml:space="preserve">). </w:t>
      </w:r>
    </w:p>
    <w:p w14:paraId="29EF9249" w14:textId="77777777" w:rsidR="002412EC" w:rsidRDefault="002412EC" w:rsidP="007A3BEC">
      <w:pPr>
        <w:pStyle w:val="NoSpacing"/>
      </w:pPr>
      <w:r w:rsidRPr="007A3BEC">
        <w:drawing>
          <wp:inline distT="0" distB="0" distL="0" distR="0" wp14:anchorId="6B1B26F5" wp14:editId="0BB27840">
            <wp:extent cx="6471185" cy="67823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0904" cy="696018"/>
                    </a:xfrm>
                    <a:prstGeom prst="rect">
                      <a:avLst/>
                    </a:prstGeom>
                  </pic:spPr>
                </pic:pic>
              </a:graphicData>
            </a:graphic>
          </wp:inline>
        </w:drawing>
      </w:r>
    </w:p>
    <w:p w14:paraId="66CBB436" w14:textId="77777777" w:rsidR="00E8780D" w:rsidRPr="007A3BEC" w:rsidRDefault="00E8780D" w:rsidP="007A3BEC">
      <w:pPr>
        <w:pStyle w:val="NoSpacing"/>
      </w:pPr>
      <w:r w:rsidRPr="007A3BEC">
        <w:t>The above reject indicates an invalid character in the PO number or invoice number in an invoice.</w:t>
      </w:r>
    </w:p>
    <w:p w14:paraId="2FCD7693" w14:textId="34A33D44" w:rsidR="006F6D45" w:rsidRDefault="00C8206D" w:rsidP="00C8206D">
      <w:pPr>
        <w:pStyle w:val="Heading2"/>
      </w:pPr>
      <w:r>
        <w:t>Element too long</w:t>
      </w:r>
    </w:p>
    <w:p w14:paraId="784AC203" w14:textId="77777777" w:rsidR="00C8206D" w:rsidRPr="007A3BEC" w:rsidRDefault="00C8206D" w:rsidP="007A3BEC">
      <w:pPr>
        <w:pStyle w:val="NoSpacing"/>
      </w:pPr>
      <w:r w:rsidRPr="007A3BEC">
        <w:t>Certain data fields are restricted by length</w:t>
      </w:r>
      <w:r w:rsidR="000D31EA" w:rsidRPr="007A3BEC">
        <w:t xml:space="preserve">. A postal code can only be 6 digits, a zip code can only be 5 digits, and some fields like item descriptions and addresses have a maximum length. </w:t>
      </w:r>
    </w:p>
    <w:p w14:paraId="6701DA68" w14:textId="77777777" w:rsidR="000D31EA" w:rsidRDefault="000D31EA" w:rsidP="007A3BEC">
      <w:pPr>
        <w:pStyle w:val="NoSpacing"/>
      </w:pPr>
      <w:r w:rsidRPr="007A3BEC">
        <w:lastRenderedPageBreak/>
        <w:drawing>
          <wp:inline distT="0" distB="0" distL="0" distR="0" wp14:anchorId="69DD5B49" wp14:editId="6C03DF5A">
            <wp:extent cx="6398621" cy="7690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7799" cy="776178"/>
                    </a:xfrm>
                    <a:prstGeom prst="rect">
                      <a:avLst/>
                    </a:prstGeom>
                  </pic:spPr>
                </pic:pic>
              </a:graphicData>
            </a:graphic>
          </wp:inline>
        </w:drawing>
      </w:r>
    </w:p>
    <w:p w14:paraId="4D24C895" w14:textId="77777777" w:rsidR="006765F4" w:rsidRDefault="00E8780D" w:rsidP="007A3BEC">
      <w:pPr>
        <w:pStyle w:val="NoSpacing"/>
      </w:pPr>
      <w:r>
        <w:t>The above reject indicates too many characters in the name or address of a trade chain partner, possibly the shipper or consignee on an invoice.</w:t>
      </w:r>
      <w:r w:rsidR="006765F4">
        <w:t xml:space="preserve"> </w:t>
      </w:r>
    </w:p>
    <w:p w14:paraId="172FDF30" w14:textId="77777777" w:rsidR="0079187E" w:rsidRDefault="0079187E" w:rsidP="0079187E">
      <w:pPr>
        <w:pStyle w:val="Heading2"/>
      </w:pPr>
      <w:r>
        <w:t>mandatory element missing</w:t>
      </w:r>
    </w:p>
    <w:p w14:paraId="2291ECDC" w14:textId="5DC79EF3" w:rsidR="00E46989" w:rsidRDefault="00E46989" w:rsidP="00E46989">
      <w:pPr>
        <w:pStyle w:val="NoSpacing"/>
      </w:pPr>
      <w:r>
        <w:t xml:space="preserve">This reject occurs when a </w:t>
      </w:r>
      <w:r w:rsidR="00B948E6">
        <w:t>specified</w:t>
      </w:r>
      <w:r>
        <w:t xml:space="preserve"> </w:t>
      </w:r>
      <w:r w:rsidR="00E80612">
        <w:t>piece</w:t>
      </w:r>
      <w:r>
        <w:t xml:space="preserve"> of data is missing from the entry.</w:t>
      </w:r>
      <w:r w:rsidR="00E80612">
        <w:t xml:space="preserve"> The type of data is indicated underneath (IMD).</w:t>
      </w:r>
    </w:p>
    <w:p w14:paraId="53388525" w14:textId="77777777" w:rsidR="00E46989" w:rsidRDefault="00E46989" w:rsidP="007A3BEC">
      <w:pPr>
        <w:pStyle w:val="NoSpacing"/>
      </w:pPr>
      <w:r w:rsidRPr="007A3BEC">
        <w:drawing>
          <wp:inline distT="0" distB="0" distL="0" distR="0" wp14:anchorId="159DCFFB" wp14:editId="624096FD">
            <wp:extent cx="6419055" cy="926511"/>
            <wp:effectExtent l="0" t="0" r="127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41725" cy="929783"/>
                    </a:xfrm>
                    <a:prstGeom prst="rect">
                      <a:avLst/>
                    </a:prstGeom>
                  </pic:spPr>
                </pic:pic>
              </a:graphicData>
            </a:graphic>
          </wp:inline>
        </w:drawing>
      </w:r>
    </w:p>
    <w:p w14:paraId="3A58B263" w14:textId="29C67384" w:rsidR="0079187E" w:rsidRDefault="00E46989" w:rsidP="007A3BEC">
      <w:pPr>
        <w:pStyle w:val="NoSpacing"/>
      </w:pPr>
      <w:r>
        <w:t xml:space="preserve">The above reject indicates there is a missing item </w:t>
      </w:r>
      <w:r w:rsidRPr="00021B5C">
        <w:t>description on at least one of the lines.</w:t>
      </w:r>
    </w:p>
    <w:p w14:paraId="3C2D2C3F" w14:textId="2B83A2E6" w:rsidR="009432D0" w:rsidRDefault="009432D0" w:rsidP="009432D0">
      <w:pPr>
        <w:pStyle w:val="Heading2"/>
      </w:pPr>
      <w:r>
        <w:t>mandatory segment missing</w:t>
      </w:r>
    </w:p>
    <w:p w14:paraId="0242FFF9" w14:textId="077F6808" w:rsidR="009432D0" w:rsidRPr="007A3BEC" w:rsidRDefault="009432D0" w:rsidP="007A3BEC">
      <w:pPr>
        <w:pStyle w:val="NoSpacing"/>
      </w:pPr>
      <w:r w:rsidRPr="007A3BEC">
        <w:t xml:space="preserve">This reject occurs when </w:t>
      </w:r>
      <w:r w:rsidR="00B948E6" w:rsidRPr="007A3BEC">
        <w:t>an unknown</w:t>
      </w:r>
      <w:r w:rsidRPr="007A3BEC">
        <w:t xml:space="preserve"> piece of data is missing from the entry.</w:t>
      </w:r>
    </w:p>
    <w:p w14:paraId="1A7E00E0" w14:textId="0DC55DA0" w:rsidR="009432D0" w:rsidRDefault="009432D0" w:rsidP="007A3BEC">
      <w:pPr>
        <w:pStyle w:val="NoSpacing"/>
      </w:pPr>
      <w:r w:rsidRPr="007A3BEC">
        <w:drawing>
          <wp:inline distT="0" distB="0" distL="0" distR="0" wp14:anchorId="43561DD8" wp14:editId="30F04CF7">
            <wp:extent cx="6372860" cy="20002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2166"/>
                    <a:stretch/>
                  </pic:blipFill>
                  <pic:spPr bwMode="auto">
                    <a:xfrm>
                      <a:off x="0" y="0"/>
                      <a:ext cx="6373114" cy="2000330"/>
                    </a:xfrm>
                    <a:prstGeom prst="rect">
                      <a:avLst/>
                    </a:prstGeom>
                    <a:ln>
                      <a:noFill/>
                    </a:ln>
                    <a:extLst>
                      <a:ext uri="{53640926-AAD7-44D8-BBD7-CCE9431645EC}">
                        <a14:shadowObscured xmlns:a14="http://schemas.microsoft.com/office/drawing/2010/main"/>
                      </a:ext>
                    </a:extLst>
                  </pic:spPr>
                </pic:pic>
              </a:graphicData>
            </a:graphic>
          </wp:inline>
        </w:drawing>
      </w:r>
    </w:p>
    <w:p w14:paraId="394076DE" w14:textId="3E86045A" w:rsidR="009432D0" w:rsidRDefault="009432D0" w:rsidP="007A3BEC">
      <w:pPr>
        <w:pStyle w:val="NoSpacing"/>
      </w:pPr>
      <w:r w:rsidRPr="007A3BEC">
        <w:t xml:space="preserve">The above reject indicates there is something missing on at least one line (possibly a value, coo, or </w:t>
      </w:r>
      <w:proofErr w:type="spellStart"/>
      <w:r w:rsidRPr="007A3BEC">
        <w:t>tt</w:t>
      </w:r>
      <w:proofErr w:type="spellEnd"/>
      <w:r w:rsidRPr="007A3BEC">
        <w:t>)</w:t>
      </w:r>
      <w:r w:rsidR="00E53162" w:rsidRPr="007A3BEC">
        <w:t xml:space="preserve">. Don’t be intimidated by the long list of different segments missing. Typically, with this reject, only one or </w:t>
      </w:r>
      <w:r w:rsidR="00E80612" w:rsidRPr="007A3BEC">
        <w:t>a few</w:t>
      </w:r>
      <w:r w:rsidR="00E53162" w:rsidRPr="007A3BEC">
        <w:t xml:space="preserve"> details are missing which causes everything else to be out of sequence. (</w:t>
      </w:r>
      <w:proofErr w:type="spellStart"/>
      <w:r w:rsidR="00E53162" w:rsidRPr="007A3BEC">
        <w:t>Eg.</w:t>
      </w:r>
      <w:proofErr w:type="spellEnd"/>
      <w:r w:rsidR="00E53162" w:rsidRPr="007A3BEC">
        <w:t xml:space="preserve"> Missing COO on two lines)</w:t>
      </w:r>
    </w:p>
    <w:p w14:paraId="3661BD33" w14:textId="77777777" w:rsidR="007A3BEC" w:rsidRDefault="007A3BEC" w:rsidP="007A3BEC">
      <w:pPr>
        <w:pStyle w:val="NoSpacing"/>
      </w:pPr>
    </w:p>
    <w:p w14:paraId="77C0408D" w14:textId="024795CD" w:rsidR="00E8780D" w:rsidRDefault="00E8780D" w:rsidP="00E8780D">
      <w:pPr>
        <w:pStyle w:val="Heading1"/>
      </w:pPr>
      <w:r>
        <w:t>DATA ERROR</w:t>
      </w:r>
      <w:r w:rsidR="00325A0A">
        <w:t xml:space="preserve"> rejects</w:t>
      </w:r>
    </w:p>
    <w:p w14:paraId="25795118" w14:textId="04FBC7EB" w:rsidR="00C8206D" w:rsidRDefault="006765F4" w:rsidP="007A3BEC">
      <w:pPr>
        <w:pStyle w:val="NoSpacing"/>
      </w:pPr>
      <w:r>
        <w:t>Like the syntax error, this type of reject indicates the message did not meet the initial data check requirements of CBSA’s system and gets bounced back before it ever reaches them, because some essential piece of data is missing. Common rejects include ‘mandatory element missing’, or ‘element too short’, and it will indicate the line number and position in the background data that was transmitted to CBSA.</w:t>
      </w:r>
    </w:p>
    <w:p w14:paraId="3A28C08A" w14:textId="47871E13" w:rsidR="00C8206D" w:rsidRDefault="00C9679E" w:rsidP="007A3BEC">
      <w:pPr>
        <w:pStyle w:val="NoSpacing"/>
      </w:pPr>
      <w:r>
        <w:t xml:space="preserve">If you’re not familiar with reading the background data (you can see it by clicking on the batch number </w:t>
      </w:r>
      <w:r w:rsidR="00E80612">
        <w:t>beside</w:t>
      </w:r>
      <w:r>
        <w:t xml:space="preserve"> the last transmission in the transmission log), then a good strategy is to check all lines carefully to see if something is missing or out of place.</w:t>
      </w:r>
    </w:p>
    <w:p w14:paraId="486F3829" w14:textId="21787549" w:rsidR="00E46989" w:rsidRDefault="00E46989" w:rsidP="007A3BEC">
      <w:pPr>
        <w:pStyle w:val="NoSpacing"/>
      </w:pPr>
      <w:r>
        <w:t>Again</w:t>
      </w:r>
      <w:r w:rsidR="00021B5C">
        <w:t>,</w:t>
      </w:r>
      <w:r>
        <w:t xml:space="preserve"> like the syntax error, once the error has been fixed the entry must be re-transmitted again as an ‘original’ message since the data never fully made it through to </w:t>
      </w:r>
      <w:r w:rsidR="004F597B">
        <w:t>C</w:t>
      </w:r>
      <w:r>
        <w:t>ustoms</w:t>
      </w:r>
      <w:r w:rsidR="004F597B">
        <w:t>’</w:t>
      </w:r>
      <w:r>
        <w:t xml:space="preserve"> system the first time.</w:t>
      </w:r>
    </w:p>
    <w:p w14:paraId="6DCA686A" w14:textId="28DFC057" w:rsidR="00C8206D" w:rsidRDefault="00C8206D" w:rsidP="00C8206D">
      <w:pPr>
        <w:pStyle w:val="Heading2"/>
      </w:pPr>
      <w:r>
        <w:t>Mandatory element missing</w:t>
      </w:r>
      <w:r w:rsidR="00FE3052">
        <w:t xml:space="preserve"> / element too short / invalid characters</w:t>
      </w:r>
    </w:p>
    <w:p w14:paraId="09149D74" w14:textId="77777777" w:rsidR="00C9679E" w:rsidRDefault="00C9679E" w:rsidP="007A3BEC">
      <w:pPr>
        <w:pStyle w:val="NoSpacing"/>
      </w:pPr>
      <w:r>
        <w:t>The most common reason for this reject is something missing on one of the lines, like a country of origin, or a GST code, or a unit of measure. Check all the lines carefully to find the missing element.</w:t>
      </w:r>
    </w:p>
    <w:p w14:paraId="76E910D4" w14:textId="77777777" w:rsidR="00C9679E" w:rsidRDefault="00C9679E" w:rsidP="00C9679E">
      <w:pPr>
        <w:pStyle w:val="NoSpacing"/>
      </w:pPr>
      <w:r w:rsidRPr="00C9679E">
        <w:rPr>
          <w:noProof/>
        </w:rPr>
        <w:lastRenderedPageBreak/>
        <w:drawing>
          <wp:inline distT="0" distB="0" distL="0" distR="0" wp14:anchorId="2B5D53BA" wp14:editId="3661CCEE">
            <wp:extent cx="6447497" cy="136251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6863" cy="1377175"/>
                    </a:xfrm>
                    <a:prstGeom prst="rect">
                      <a:avLst/>
                    </a:prstGeom>
                  </pic:spPr>
                </pic:pic>
              </a:graphicData>
            </a:graphic>
          </wp:inline>
        </w:drawing>
      </w:r>
    </w:p>
    <w:p w14:paraId="66377CDD" w14:textId="5EA41276" w:rsidR="00C8206D" w:rsidRDefault="00C9679E" w:rsidP="007A3BEC">
      <w:pPr>
        <w:pStyle w:val="NoSpacing"/>
      </w:pPr>
      <w:r w:rsidRPr="007A3BEC">
        <w:t xml:space="preserve">The above reject indicates </w:t>
      </w:r>
      <w:r w:rsidR="0079187E" w:rsidRPr="007A3BEC">
        <w:t xml:space="preserve">that </w:t>
      </w:r>
      <w:r w:rsidRPr="007A3BEC">
        <w:t>one line</w:t>
      </w:r>
      <w:r w:rsidR="0079187E" w:rsidRPr="007A3BEC">
        <w:t xml:space="preserve"> has an element that is too short and contains invalid characters (same line number), plus 8 different lines that have a missing element</w:t>
      </w:r>
      <w:r w:rsidR="00CA11C2" w:rsidRPr="007A3BEC">
        <w:t>.</w:t>
      </w:r>
    </w:p>
    <w:p w14:paraId="576516E7" w14:textId="77777777" w:rsidR="007A3BEC" w:rsidRPr="007A3BEC" w:rsidRDefault="007A3BEC" w:rsidP="007A3BEC">
      <w:pPr>
        <w:pStyle w:val="NoSpacing"/>
      </w:pPr>
    </w:p>
    <w:p w14:paraId="53149797" w14:textId="146BE11D" w:rsidR="00021B5C" w:rsidRDefault="00325A0A" w:rsidP="00CA11C2">
      <w:pPr>
        <w:pStyle w:val="Heading1"/>
      </w:pPr>
      <w:r>
        <w:t>rejected by cbsa</w:t>
      </w:r>
    </w:p>
    <w:p w14:paraId="568C7424" w14:textId="754D903D" w:rsidR="00182AE4" w:rsidRDefault="00B82768" w:rsidP="00182AE4">
      <w:r>
        <w:t>Once your message has made it through to CBSA’s system, passing their initial data checks, then you can receive rejects from CBSA’s system for various reasons, the most common of which are listed below.</w:t>
      </w:r>
    </w:p>
    <w:p w14:paraId="3BA36753" w14:textId="1963B34D" w:rsidR="00B82768" w:rsidRDefault="00B82768" w:rsidP="00182AE4">
      <w:r>
        <w:t xml:space="preserve">For this type of reject, you will need to send </w:t>
      </w:r>
      <w:proofErr w:type="gramStart"/>
      <w:r>
        <w:t>an</w:t>
      </w:r>
      <w:proofErr w:type="gramEnd"/>
      <w:r>
        <w:t xml:space="preserve"> subsequent messages as a ‘change’ since the transaction is already existing in Customs’ system.</w:t>
      </w:r>
    </w:p>
    <w:p w14:paraId="726D07D6" w14:textId="194B649A" w:rsidR="00B82768" w:rsidRDefault="00B82768" w:rsidP="00B82768">
      <w:pPr>
        <w:pStyle w:val="Heading2"/>
      </w:pPr>
      <w:r>
        <w:t>INVALID STATUS OF REQUEST</w:t>
      </w:r>
    </w:p>
    <w:p w14:paraId="20E2499F" w14:textId="4389344D" w:rsidR="00B82768" w:rsidRDefault="00B82768" w:rsidP="00182AE4">
      <w:r>
        <w:t>The reject usually happens when the cargo control number already exists in CBSA’s system but you sent a new message as an ‘original’ instead of a ‘change’. You can just immediately resend your message as a change to fix this reject.</w:t>
      </w:r>
    </w:p>
    <w:p w14:paraId="18233F78" w14:textId="3B1BA2AA" w:rsidR="00182AE4" w:rsidRDefault="00B82768" w:rsidP="00B82768">
      <w:pPr>
        <w:pStyle w:val="NoSpacing"/>
      </w:pPr>
      <w:r w:rsidRPr="00B82768">
        <w:rPr>
          <w:noProof/>
        </w:rPr>
        <w:drawing>
          <wp:inline distT="0" distB="0" distL="0" distR="0" wp14:anchorId="4DC921FB" wp14:editId="6DEC8A7B">
            <wp:extent cx="6400800" cy="492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492125"/>
                    </a:xfrm>
                    <a:prstGeom prst="rect">
                      <a:avLst/>
                    </a:prstGeom>
                  </pic:spPr>
                </pic:pic>
              </a:graphicData>
            </a:graphic>
          </wp:inline>
        </w:drawing>
      </w:r>
    </w:p>
    <w:p w14:paraId="2E3C2C8D" w14:textId="5585DA10" w:rsidR="00DF492D" w:rsidRDefault="00DF492D" w:rsidP="00B82768">
      <w:pPr>
        <w:pStyle w:val="NoSpacing"/>
      </w:pPr>
      <w:r>
        <w:t>You can just immediately resend your message as a change to fix this reject.</w:t>
      </w:r>
    </w:p>
    <w:p w14:paraId="12086E9A" w14:textId="21B3E4BD" w:rsidR="00DF492D" w:rsidRDefault="00DF492D" w:rsidP="00DF492D">
      <w:pPr>
        <w:pStyle w:val="Heading2"/>
      </w:pPr>
      <w:r>
        <w:t>request must exist on file</w:t>
      </w:r>
    </w:p>
    <w:p w14:paraId="5F4969FC" w14:textId="1A1548E6" w:rsidR="00DF492D" w:rsidRDefault="00DF492D" w:rsidP="00B82768">
      <w:pPr>
        <w:pStyle w:val="NoSpacing"/>
      </w:pPr>
      <w:r>
        <w:t xml:space="preserve">This reject is the opposite of the ‘invalid status of request’ above. It occurs when </w:t>
      </w:r>
      <w:r w:rsidR="006831CD">
        <w:t xml:space="preserve">the cargo control number does not exist CBSA’s system, but </w:t>
      </w:r>
      <w:r>
        <w:t>you have sent a new message as a ‘change’ instead of an ‘original’. This usually happens when the previous message came back with a data or syntax error and someone accidentally sent a new message as a change after fixing it.</w:t>
      </w:r>
    </w:p>
    <w:p w14:paraId="1A7F442B" w14:textId="2708998B" w:rsidR="00DF492D" w:rsidRDefault="00F15995" w:rsidP="00B82768">
      <w:pPr>
        <w:pStyle w:val="NoSpacing"/>
      </w:pPr>
      <w:r w:rsidRPr="00F15995">
        <w:rPr>
          <w:noProof/>
        </w:rPr>
        <w:drawing>
          <wp:inline distT="0" distB="0" distL="0" distR="0" wp14:anchorId="0FF734A7" wp14:editId="37E4FD96">
            <wp:extent cx="6400800" cy="6038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603885"/>
                    </a:xfrm>
                    <a:prstGeom prst="rect">
                      <a:avLst/>
                    </a:prstGeom>
                  </pic:spPr>
                </pic:pic>
              </a:graphicData>
            </a:graphic>
          </wp:inline>
        </w:drawing>
      </w:r>
    </w:p>
    <w:p w14:paraId="1A328940" w14:textId="2E0525B7" w:rsidR="00F15995" w:rsidRDefault="00F15995" w:rsidP="00F15995">
      <w:pPr>
        <w:pStyle w:val="NoSpacing"/>
      </w:pPr>
      <w:r>
        <w:t>You can just immediately resend your message as an original to fix this reject.</w:t>
      </w:r>
    </w:p>
    <w:p w14:paraId="4C5B9751" w14:textId="6D340B27" w:rsidR="00F15995" w:rsidRDefault="00F15995" w:rsidP="00F15995">
      <w:pPr>
        <w:pStyle w:val="Heading2"/>
      </w:pPr>
      <w:r>
        <w:t>duplicate field</w:t>
      </w:r>
    </w:p>
    <w:p w14:paraId="7A34F095" w14:textId="343F9625" w:rsidR="00F15995" w:rsidRDefault="00F15995" w:rsidP="00B82768">
      <w:pPr>
        <w:pStyle w:val="NoSpacing"/>
      </w:pPr>
      <w:r>
        <w:t>This reject usually occurs when our transaction number is already in CBSA’s system, but a significant piece of data has changed, causing CBSA to recognize it as a different shipment, therefore declaring it as a duplicate. The most common reason for this is that someone changed the client code without cancelling the entry first.</w:t>
      </w:r>
    </w:p>
    <w:p w14:paraId="43C6A843" w14:textId="20C33C95" w:rsidR="00DF492D" w:rsidRDefault="00F15995" w:rsidP="00B82768">
      <w:pPr>
        <w:pStyle w:val="NoSpacing"/>
      </w:pPr>
      <w:r w:rsidRPr="00F15995">
        <w:rPr>
          <w:noProof/>
        </w:rPr>
        <w:drawing>
          <wp:inline distT="0" distB="0" distL="0" distR="0" wp14:anchorId="7CF7D147" wp14:editId="4677C2D8">
            <wp:extent cx="6400800" cy="5080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508000"/>
                    </a:xfrm>
                    <a:prstGeom prst="rect">
                      <a:avLst/>
                    </a:prstGeom>
                  </pic:spPr>
                </pic:pic>
              </a:graphicData>
            </a:graphic>
          </wp:inline>
        </w:drawing>
      </w:r>
    </w:p>
    <w:p w14:paraId="39CBDA97" w14:textId="61FF9DEE" w:rsidR="00DF492D" w:rsidRDefault="00F15995" w:rsidP="00B82768">
      <w:pPr>
        <w:pStyle w:val="NoSpacing"/>
      </w:pPr>
      <w:r>
        <w:t>The way to fix this reject is to change the entry back to what it was originally and send it as a cancel first. Once the cancel comes back accepted, then the information can be changed and re-transmitted as a new original message.</w:t>
      </w:r>
    </w:p>
    <w:p w14:paraId="2B9B7004" w14:textId="7ABBFFA5" w:rsidR="00B82768" w:rsidRDefault="00B82768" w:rsidP="00B82768">
      <w:pPr>
        <w:pStyle w:val="Heading2"/>
      </w:pPr>
      <w:r>
        <w:t>related request in history</w:t>
      </w:r>
    </w:p>
    <w:p w14:paraId="38E6A684" w14:textId="3FA4E93C" w:rsidR="00B82768" w:rsidRDefault="00B82768" w:rsidP="00B82768">
      <w:pPr>
        <w:pStyle w:val="NoSpacing"/>
      </w:pPr>
      <w:r>
        <w:t xml:space="preserve">This reject usually happens when another </w:t>
      </w:r>
      <w:r w:rsidR="00347FD6">
        <w:t>transaction number</w:t>
      </w:r>
      <w:r>
        <w:t xml:space="preserve"> already exists with the same cargo control number.</w:t>
      </w:r>
      <w:r w:rsidR="00347FD6">
        <w:t xml:space="preserve"> The most likely reasons are either we already set up the same PARS on a different file number, or another broker set up the same PARS.</w:t>
      </w:r>
    </w:p>
    <w:p w14:paraId="7C1DFD45" w14:textId="0C0A0ED6" w:rsidR="00347FD6" w:rsidRDefault="00347FD6" w:rsidP="00B82768">
      <w:pPr>
        <w:pStyle w:val="NoSpacing"/>
      </w:pPr>
      <w:r w:rsidRPr="00347FD6">
        <w:rPr>
          <w:noProof/>
        </w:rPr>
        <w:lastRenderedPageBreak/>
        <w:drawing>
          <wp:inline distT="0" distB="0" distL="0" distR="0" wp14:anchorId="38F855E4" wp14:editId="5FF815B1">
            <wp:extent cx="6400800" cy="516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516255"/>
                    </a:xfrm>
                    <a:prstGeom prst="rect">
                      <a:avLst/>
                    </a:prstGeom>
                  </pic:spPr>
                </pic:pic>
              </a:graphicData>
            </a:graphic>
          </wp:inline>
        </w:drawing>
      </w:r>
    </w:p>
    <w:p w14:paraId="7E53C374" w14:textId="5781355D" w:rsidR="00347FD6" w:rsidRDefault="00347FD6" w:rsidP="00B82768">
      <w:pPr>
        <w:pStyle w:val="NoSpacing"/>
      </w:pPr>
      <w:r>
        <w:t>If we accidentally duplicated 2 PARS in our own system, we can just disregard one of them, but if there are no other entries in our system for the shipment, then the carrier would have to be notified that the PARS they provided is a duplicate.</w:t>
      </w:r>
    </w:p>
    <w:p w14:paraId="69C277D9" w14:textId="5132A3CC" w:rsidR="00347FD6" w:rsidRDefault="00347FD6" w:rsidP="00347FD6">
      <w:pPr>
        <w:pStyle w:val="Heading2"/>
      </w:pPr>
      <w:r>
        <w:t>edi changes not accepted after arrival</w:t>
      </w:r>
    </w:p>
    <w:p w14:paraId="03D1F358" w14:textId="775D1147" w:rsidR="00347FD6" w:rsidRDefault="00DF492D" w:rsidP="00B82768">
      <w:pPr>
        <w:pStyle w:val="NoSpacing"/>
      </w:pPr>
      <w:r>
        <w:t xml:space="preserve">This reject </w:t>
      </w:r>
      <w:r w:rsidR="006831CD">
        <w:t>occurs</w:t>
      </w:r>
      <w:r>
        <w:t xml:space="preserve"> when the driver has already arrived at the border and his ACI manifest has been scanned by the CBSA officer. </w:t>
      </w:r>
    </w:p>
    <w:p w14:paraId="7668158D" w14:textId="4A5AAF10" w:rsidR="00347FD6" w:rsidRDefault="00DF492D" w:rsidP="00347FD6">
      <w:pPr>
        <w:pStyle w:val="NoSpacing"/>
      </w:pPr>
      <w:r w:rsidRPr="00DF492D">
        <w:rPr>
          <w:noProof/>
        </w:rPr>
        <w:drawing>
          <wp:inline distT="0" distB="0" distL="0" distR="0" wp14:anchorId="13FAC8D7" wp14:editId="46ED44B3">
            <wp:extent cx="6400800" cy="4432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443230"/>
                    </a:xfrm>
                    <a:prstGeom prst="rect">
                      <a:avLst/>
                    </a:prstGeom>
                  </pic:spPr>
                </pic:pic>
              </a:graphicData>
            </a:graphic>
          </wp:inline>
        </w:drawing>
      </w:r>
    </w:p>
    <w:p w14:paraId="1746105B" w14:textId="3E89CD20" w:rsidR="00347FD6" w:rsidRDefault="00DF492D" w:rsidP="00347FD6">
      <w:pPr>
        <w:pStyle w:val="NoSpacing"/>
      </w:pPr>
      <w:r>
        <w:t>Once this happens you can no longer send a ‘change’ message to correct the entry, but instead you must send an ‘amendment’ message.</w:t>
      </w:r>
    </w:p>
    <w:p w14:paraId="5DD2328C" w14:textId="5A41B3B4" w:rsidR="009E3BFB" w:rsidRDefault="006831CD" w:rsidP="009E3BFB">
      <w:pPr>
        <w:pStyle w:val="Heading2"/>
      </w:pPr>
      <w:r>
        <w:t>LINE CLASSIFICATION VALUE</w:t>
      </w:r>
    </w:p>
    <w:p w14:paraId="478F2AFA" w14:textId="35945CF8" w:rsidR="009E3BFB" w:rsidRDefault="006831CD" w:rsidP="00347FD6">
      <w:pPr>
        <w:pStyle w:val="NoSpacing"/>
      </w:pPr>
      <w:r>
        <w:t xml:space="preserve">This reject occurs when there is an invalid HS </w:t>
      </w:r>
      <w:r w:rsidR="007A0B08">
        <w:t>code on one of the lines.</w:t>
      </w:r>
    </w:p>
    <w:p w14:paraId="6147E7A9" w14:textId="15A1F8F7" w:rsidR="006831CD" w:rsidRDefault="006831CD" w:rsidP="00347FD6">
      <w:pPr>
        <w:pStyle w:val="NoSpacing"/>
      </w:pPr>
      <w:r w:rsidRPr="006831CD">
        <w:rPr>
          <w:noProof/>
        </w:rPr>
        <w:drawing>
          <wp:inline distT="0" distB="0" distL="0" distR="0" wp14:anchorId="01D8D115" wp14:editId="7FFE2C5B">
            <wp:extent cx="6400800" cy="6273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627380"/>
                    </a:xfrm>
                    <a:prstGeom prst="rect">
                      <a:avLst/>
                    </a:prstGeom>
                  </pic:spPr>
                </pic:pic>
              </a:graphicData>
            </a:graphic>
          </wp:inline>
        </w:drawing>
      </w:r>
    </w:p>
    <w:p w14:paraId="2C69670D" w14:textId="3B0C52D2" w:rsidR="009E3BFB" w:rsidRDefault="007A0B08" w:rsidP="00347FD6">
      <w:pPr>
        <w:pStyle w:val="NoSpacing"/>
      </w:pPr>
      <w:r>
        <w:t>Look for the line with an incorrect HS code (with a red box around it) and then resend as a change with the corrected HS.</w:t>
      </w:r>
    </w:p>
    <w:p w14:paraId="6D2C7B9C" w14:textId="688F1B64" w:rsidR="007A0B08" w:rsidRDefault="007A0B08" w:rsidP="007A0B08">
      <w:pPr>
        <w:pStyle w:val="Heading2"/>
      </w:pPr>
      <w:r>
        <w:t>invoice quantity unit of measure</w:t>
      </w:r>
    </w:p>
    <w:p w14:paraId="551AB20E" w14:textId="08ECA37B" w:rsidR="007A0B08" w:rsidRDefault="007A0B08" w:rsidP="007A0B08">
      <w:r>
        <w:t>This reject occurs when an invalid unit of measure is used on the invoice quantity.</w:t>
      </w:r>
    </w:p>
    <w:p w14:paraId="24C4364F" w14:textId="3D884F0D" w:rsidR="007A0B08" w:rsidRPr="007A0B08" w:rsidRDefault="007A0B08" w:rsidP="007A0B08">
      <w:pPr>
        <w:pStyle w:val="NoSpacing"/>
      </w:pPr>
      <w:r w:rsidRPr="007A0B08">
        <w:rPr>
          <w:noProof/>
        </w:rPr>
        <w:drawing>
          <wp:inline distT="0" distB="0" distL="0" distR="0" wp14:anchorId="314D803D" wp14:editId="0493F596">
            <wp:extent cx="6400800" cy="579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579120"/>
                    </a:xfrm>
                    <a:prstGeom prst="rect">
                      <a:avLst/>
                    </a:prstGeom>
                  </pic:spPr>
                </pic:pic>
              </a:graphicData>
            </a:graphic>
          </wp:inline>
        </w:drawing>
      </w:r>
    </w:p>
    <w:p w14:paraId="3322E631" w14:textId="7A8FC77C" w:rsidR="007A0B08" w:rsidRDefault="007A0B08" w:rsidP="00347FD6">
      <w:pPr>
        <w:pStyle w:val="NoSpacing"/>
      </w:pPr>
      <w:r>
        <w:t xml:space="preserve">There are only certain unit of measures that are valid for the invoice quantity (PCS, SKDS, </w:t>
      </w:r>
      <w:proofErr w:type="spellStart"/>
      <w:r>
        <w:t>etc</w:t>
      </w:r>
      <w:proofErr w:type="spellEnd"/>
      <w:r w:rsidR="00036406">
        <w:t>) and the invoice weight must be in KGM.</w:t>
      </w:r>
    </w:p>
    <w:p w14:paraId="7F538ACE" w14:textId="0CE87C76" w:rsidR="00355A40" w:rsidRDefault="00355A40" w:rsidP="00355A40">
      <w:pPr>
        <w:pStyle w:val="Heading2"/>
      </w:pPr>
      <w:r>
        <w:t>line canadian product category code</w:t>
      </w:r>
    </w:p>
    <w:p w14:paraId="78E4DF32" w14:textId="7E74CDB3" w:rsidR="00355A40" w:rsidRDefault="00355A40" w:rsidP="00347FD6">
      <w:pPr>
        <w:pStyle w:val="NoSpacing"/>
      </w:pPr>
      <w:r>
        <w:t>This reject comes from CBSA but is actually related to PGA</w:t>
      </w:r>
      <w:r w:rsidR="00B717F6">
        <w:t xml:space="preserve"> info</w:t>
      </w:r>
      <w:r>
        <w:t xml:space="preserve">, specifically HC in this case. It happens when a PGA detail is partially added </w:t>
      </w:r>
      <w:r w:rsidR="00B717F6">
        <w:t>but</w:t>
      </w:r>
      <w:r>
        <w:t xml:space="preserve"> not properly closed before saving the line, which results in a glitched duplicate PGA detail </w:t>
      </w:r>
      <w:r w:rsidR="00B717F6">
        <w:t>and</w:t>
      </w:r>
      <w:r>
        <w:t xml:space="preserve"> causes a reject.</w:t>
      </w:r>
      <w:r w:rsidR="00B717F6">
        <w:t xml:space="preserve"> It can also happen with other PGA fields besides the product category code.</w:t>
      </w:r>
    </w:p>
    <w:p w14:paraId="47552F61" w14:textId="732C7E66" w:rsidR="00355A40" w:rsidRDefault="00355A40" w:rsidP="00347FD6">
      <w:pPr>
        <w:pStyle w:val="NoSpacing"/>
      </w:pPr>
      <w:r w:rsidRPr="00355A40">
        <w:rPr>
          <w:noProof/>
        </w:rPr>
        <w:drawing>
          <wp:inline distT="0" distB="0" distL="0" distR="0" wp14:anchorId="526E0204" wp14:editId="5B2D47E8">
            <wp:extent cx="6400800" cy="492125"/>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492125"/>
                    </a:xfrm>
                    <a:prstGeom prst="rect">
                      <a:avLst/>
                    </a:prstGeom>
                  </pic:spPr>
                </pic:pic>
              </a:graphicData>
            </a:graphic>
          </wp:inline>
        </w:drawing>
      </w:r>
    </w:p>
    <w:p w14:paraId="75AFE38D" w14:textId="5C2C742F" w:rsidR="00355A40" w:rsidRDefault="00B717F6" w:rsidP="00347FD6">
      <w:pPr>
        <w:pStyle w:val="NoSpacing"/>
      </w:pPr>
      <w:r>
        <w:t>The only way to fix this is to delete the glitched line and rekey a new one. For assistance with finding which line is glitched, ask Esther the Operations Assistant.</w:t>
      </w:r>
    </w:p>
    <w:p w14:paraId="307207DE" w14:textId="77777777" w:rsidR="007A3BEC" w:rsidRDefault="007A3BEC" w:rsidP="00347FD6">
      <w:pPr>
        <w:pStyle w:val="NoSpacing"/>
      </w:pPr>
    </w:p>
    <w:p w14:paraId="7C6FA32F" w14:textId="12CF311C" w:rsidR="00F15995" w:rsidRDefault="00DD5762" w:rsidP="00DD5762">
      <w:pPr>
        <w:pStyle w:val="Heading1"/>
      </w:pPr>
      <w:r>
        <w:t>OFFICER MANUAL REJECt</w:t>
      </w:r>
    </w:p>
    <w:p w14:paraId="29B3490F" w14:textId="579113B3" w:rsidR="00DD5762" w:rsidRPr="007A3BEC" w:rsidRDefault="00DD5762" w:rsidP="007A3BEC">
      <w:pPr>
        <w:pStyle w:val="NoSpacing"/>
      </w:pPr>
      <w:r w:rsidRPr="007A3BEC">
        <w:t xml:space="preserve">This type of reject message comes directly from an officer, not the CBSA’s system. </w:t>
      </w:r>
      <w:r w:rsidR="00217DC7" w:rsidRPr="007A3BEC">
        <w:t>It will still show up as ‘Rejected by CBSA’ but will be indicated underneath with</w:t>
      </w:r>
      <w:r w:rsidRPr="007A3BEC">
        <w:t xml:space="preserve"> the words ‘Officer Manual Reject’, followed by the words that an officer manually typed.</w:t>
      </w:r>
    </w:p>
    <w:p w14:paraId="57A337F4" w14:textId="0934ACA1" w:rsidR="00217DC7" w:rsidRDefault="00217DC7" w:rsidP="007A3BEC">
      <w:pPr>
        <w:pStyle w:val="NoSpacing"/>
      </w:pPr>
      <w:r w:rsidRPr="007A3BEC">
        <w:t>There are some common reasons for this type of reject that are more generic, as listed below. However, an officer can also use this type of reject to request further information (like better descriptions) or to give specific instructions, and it’s important to follow the instructions as accurately as possible. Having an officer make a request like this usually means they are already reviewing the entry, and further rejects could result in an AMPS penalty for non-compliance. If you don’t understand the officer’s instructions, it is probably best to call the port and clarify what they are looking for, rather than continuing to send messages that could result in additional rejects.</w:t>
      </w:r>
    </w:p>
    <w:p w14:paraId="39F9E7D9" w14:textId="621F2BBC" w:rsidR="00DD5762" w:rsidRDefault="00DD5762" w:rsidP="00DD5762">
      <w:pPr>
        <w:pStyle w:val="Heading2"/>
      </w:pPr>
      <w:r>
        <w:lastRenderedPageBreak/>
        <w:t>related cargo at a different port</w:t>
      </w:r>
    </w:p>
    <w:p w14:paraId="6EE03FFC" w14:textId="08C8492F" w:rsidR="00DD5762" w:rsidRPr="007A3BEC" w:rsidRDefault="00BD5F16" w:rsidP="007A3BEC">
      <w:pPr>
        <w:pStyle w:val="NoSpacing"/>
      </w:pPr>
      <w:r w:rsidRPr="007A3BEC">
        <w:t xml:space="preserve">This reject </w:t>
      </w:r>
      <w:r w:rsidR="00042950" w:rsidRPr="007A3BEC">
        <w:t xml:space="preserve">usually </w:t>
      </w:r>
      <w:r w:rsidRPr="007A3BEC">
        <w:t xml:space="preserve">happens when the driver shows up at a different port than what we declared in our entry. The wording could vary with each instance depending on the officer, but all of them </w:t>
      </w:r>
      <w:r w:rsidR="00042950" w:rsidRPr="007A3BEC">
        <w:t xml:space="preserve">will </w:t>
      </w:r>
      <w:r w:rsidRPr="007A3BEC">
        <w:t>indicate that a port change is needed</w:t>
      </w:r>
      <w:r w:rsidR="00042950" w:rsidRPr="007A3BEC">
        <w:t>:</w:t>
      </w:r>
    </w:p>
    <w:p w14:paraId="5D51DDB4" w14:textId="228834E6" w:rsidR="00BD5F16" w:rsidRPr="007A3BEC" w:rsidRDefault="00BD5F16" w:rsidP="007A3BEC">
      <w:pPr>
        <w:pStyle w:val="NoSpacing"/>
      </w:pPr>
      <w:r w:rsidRPr="007A3BEC">
        <w:tab/>
        <w:t>‘RELATED CARGO AT A DIFFERENT PORT – PLEASE CORRECT AND RESUBMIT’</w:t>
      </w:r>
    </w:p>
    <w:p w14:paraId="4EB45991" w14:textId="51E4EA84" w:rsidR="00BD5F16" w:rsidRPr="007A3BEC" w:rsidRDefault="00BD5F16" w:rsidP="007A3BEC">
      <w:pPr>
        <w:pStyle w:val="NoSpacing"/>
      </w:pPr>
      <w:r w:rsidRPr="007A3BEC">
        <w:tab/>
        <w:t>‘CARGO SET TO GO IN BOND TO 0453 - PLEASE CLEAR 0440’</w:t>
      </w:r>
    </w:p>
    <w:p w14:paraId="5605BD0B" w14:textId="37385434" w:rsidR="00BD5F16" w:rsidRPr="007A3BEC" w:rsidRDefault="00BD5F16" w:rsidP="007A3BEC">
      <w:pPr>
        <w:pStyle w:val="NoSpacing"/>
        <w:ind w:firstLine="720"/>
      </w:pPr>
      <w:r w:rsidRPr="007A3BEC">
        <w:t>‘CCN SET UP TO CLEAR IN SASK NOT ALBERTA’</w:t>
      </w:r>
    </w:p>
    <w:p w14:paraId="070313FA" w14:textId="1E4E7B4E" w:rsidR="00BD5F16" w:rsidRPr="007A3BEC" w:rsidRDefault="00BD5F16" w:rsidP="007A3BEC">
      <w:pPr>
        <w:pStyle w:val="NoSpacing"/>
        <w:ind w:firstLine="720"/>
      </w:pPr>
      <w:r w:rsidRPr="007A3BEC">
        <w:t>‘PORT HAS TO BE CHANGED TO 496 TO MATCH PORT OF CLEARANCE OF CARGO’</w:t>
      </w:r>
    </w:p>
    <w:p w14:paraId="1FE4926B" w14:textId="1E16255D" w:rsidR="00042950" w:rsidRDefault="00042950" w:rsidP="007A3BEC">
      <w:pPr>
        <w:pStyle w:val="NoSpacing"/>
      </w:pPr>
      <w:r w:rsidRPr="007A3BEC">
        <w:drawing>
          <wp:inline distT="0" distB="0" distL="0" distR="0" wp14:anchorId="52A41E00" wp14:editId="6C000C3C">
            <wp:extent cx="6400800" cy="8007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800735"/>
                    </a:xfrm>
                    <a:prstGeom prst="rect">
                      <a:avLst/>
                    </a:prstGeom>
                  </pic:spPr>
                </pic:pic>
              </a:graphicData>
            </a:graphic>
          </wp:inline>
        </w:drawing>
      </w:r>
    </w:p>
    <w:p w14:paraId="380662A8" w14:textId="21A48C7E" w:rsidR="00F15995" w:rsidRDefault="00042950" w:rsidP="007A3BEC">
      <w:pPr>
        <w:pStyle w:val="NoSpacing"/>
      </w:pPr>
      <w:r w:rsidRPr="007A3BEC">
        <w:t>If the reject doesn’t mention which port it needs to be changed to, then you will need to contact the carrier first to confirm.</w:t>
      </w:r>
    </w:p>
    <w:p w14:paraId="40AE8422" w14:textId="77777777" w:rsidR="007A3BEC" w:rsidRDefault="007A3BEC" w:rsidP="007A3BEC">
      <w:pPr>
        <w:pStyle w:val="NoSpacing"/>
      </w:pPr>
    </w:p>
    <w:p w14:paraId="1B6CFA5D" w14:textId="024E99FD" w:rsidR="00036406" w:rsidRDefault="00325A0A" w:rsidP="00036406">
      <w:pPr>
        <w:pStyle w:val="Heading1"/>
      </w:pPr>
      <w:r>
        <w:t>rejected by pga</w:t>
      </w:r>
    </w:p>
    <w:p w14:paraId="272AAB75" w14:textId="33FACB99" w:rsidR="00042950" w:rsidRPr="007A3BEC" w:rsidRDefault="00325A0A" w:rsidP="007A3BEC">
      <w:pPr>
        <w:pStyle w:val="NoSpacing"/>
      </w:pPr>
      <w:r w:rsidRPr="007A3BEC">
        <w:t>If the entry has PGA information that is being transmitted, the message will go to both CBSA and whichever PGA is involved. Therefore</w:t>
      </w:r>
      <w:r w:rsidR="007A3BEC" w:rsidRPr="007A3BEC">
        <w:t>,</w:t>
      </w:r>
      <w:r w:rsidRPr="007A3BEC">
        <w:t xml:space="preserve"> the entry can also be rejected by one of the PGAs for invalid or incomplete PGA information. Some of the PGA</w:t>
      </w:r>
      <w:r w:rsidR="0075548E" w:rsidRPr="007A3BEC">
        <w:t>s</w:t>
      </w:r>
      <w:r w:rsidRPr="007A3BEC">
        <w:t xml:space="preserve"> will identify themselves by including their own contact information at the bottom of the reject, and some will have no such identification but you </w:t>
      </w:r>
      <w:r w:rsidR="0075548E" w:rsidRPr="007A3BEC">
        <w:t>may</w:t>
      </w:r>
      <w:r w:rsidRPr="007A3BEC">
        <w:t xml:space="preserve"> be able to tell which PGA is reject</w:t>
      </w:r>
      <w:r w:rsidR="0075548E" w:rsidRPr="007A3BEC">
        <w:t>ing</w:t>
      </w:r>
      <w:r w:rsidRPr="007A3BEC">
        <w:t xml:space="preserve"> the entry based on the fields mentioned in the reject message. Some common examples are included below.</w:t>
      </w:r>
    </w:p>
    <w:p w14:paraId="32EA3B71" w14:textId="7449484F" w:rsidR="00325A0A" w:rsidRDefault="00325A0A" w:rsidP="00325A0A">
      <w:pPr>
        <w:pStyle w:val="Heading2"/>
      </w:pPr>
      <w:r>
        <w:t>CFIA reject</w:t>
      </w:r>
      <w:r w:rsidR="00355A40">
        <w:t>s</w:t>
      </w:r>
    </w:p>
    <w:p w14:paraId="6DA70389" w14:textId="2F2F1839" w:rsidR="00F15995" w:rsidRPr="007A3BEC" w:rsidRDefault="00325A0A" w:rsidP="007A3BEC">
      <w:pPr>
        <w:pStyle w:val="NoSpacing"/>
      </w:pPr>
      <w:r w:rsidRPr="007A3BEC">
        <w:t>CFIA includes their NISC (National Import Service Centre) contact information at the bottom of their reject message</w:t>
      </w:r>
      <w:r w:rsidR="00A16101" w:rsidRPr="007A3BEC">
        <w:t>. This is your indication that the reject is on a line with CFIA. T</w:t>
      </w:r>
      <w:r w:rsidRPr="007A3BEC">
        <w:t xml:space="preserve">hey will </w:t>
      </w:r>
      <w:r w:rsidR="00A16101" w:rsidRPr="007A3BEC">
        <w:t xml:space="preserve">also </w:t>
      </w:r>
      <w:r w:rsidRPr="007A3BEC">
        <w:t>often include the line number that contains the error.</w:t>
      </w:r>
    </w:p>
    <w:p w14:paraId="4805B9EE" w14:textId="216F3C31" w:rsidR="00325A0A" w:rsidRDefault="00325A0A" w:rsidP="007A3BEC">
      <w:pPr>
        <w:pStyle w:val="NoSpacing"/>
      </w:pPr>
      <w:r w:rsidRPr="007A3BEC">
        <w:drawing>
          <wp:inline distT="0" distB="0" distL="0" distR="0" wp14:anchorId="14C6B1A0" wp14:editId="289C4D12">
            <wp:extent cx="6400800" cy="11506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150620"/>
                    </a:xfrm>
                    <a:prstGeom prst="rect">
                      <a:avLst/>
                    </a:prstGeom>
                  </pic:spPr>
                </pic:pic>
              </a:graphicData>
            </a:graphic>
          </wp:inline>
        </w:drawing>
      </w:r>
    </w:p>
    <w:p w14:paraId="4364E690" w14:textId="5476B0D2" w:rsidR="0075548E" w:rsidRPr="007A3BEC" w:rsidRDefault="0075548E" w:rsidP="007A3BEC">
      <w:pPr>
        <w:pStyle w:val="NoSpacing"/>
      </w:pPr>
      <w:r w:rsidRPr="007A3BEC">
        <w:t>The above reject indicates the delivery party (or destination) is missing and the PGA quantity is missing or invalid.</w:t>
      </w:r>
    </w:p>
    <w:p w14:paraId="3EE45220" w14:textId="50963377" w:rsidR="0075548E" w:rsidRDefault="0075548E" w:rsidP="007A3BEC">
      <w:pPr>
        <w:pStyle w:val="NoSpacing"/>
      </w:pPr>
      <w:r w:rsidRPr="007A3BEC">
        <w:drawing>
          <wp:inline distT="0" distB="0" distL="0" distR="0" wp14:anchorId="540818DA" wp14:editId="308DF253">
            <wp:extent cx="6400800" cy="14617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1461770"/>
                    </a:xfrm>
                    <a:prstGeom prst="rect">
                      <a:avLst/>
                    </a:prstGeom>
                  </pic:spPr>
                </pic:pic>
              </a:graphicData>
            </a:graphic>
          </wp:inline>
        </w:drawing>
      </w:r>
    </w:p>
    <w:p w14:paraId="2D4149DA" w14:textId="63646F68" w:rsidR="0075548E" w:rsidRPr="007A3BEC" w:rsidRDefault="0075548E" w:rsidP="007A3BEC">
      <w:pPr>
        <w:pStyle w:val="NoSpacing"/>
      </w:pPr>
      <w:r w:rsidRPr="007A3BEC">
        <w:t>The above reject indicates the OGD code is invalid on line 1085. When CFIA refers to HS_OGD code, it always means OGD code, and the number beside COM is the line number in the entry.</w:t>
      </w:r>
    </w:p>
    <w:p w14:paraId="4ACFE042" w14:textId="37749355" w:rsidR="0075548E" w:rsidRDefault="0075548E" w:rsidP="007A3BEC">
      <w:pPr>
        <w:pStyle w:val="NoSpacing"/>
      </w:pPr>
      <w:r w:rsidRPr="007A3BEC">
        <w:lastRenderedPageBreak/>
        <w:drawing>
          <wp:inline distT="0" distB="0" distL="0" distR="0" wp14:anchorId="0E44FD59" wp14:editId="3A984512">
            <wp:extent cx="6400800" cy="20402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2040255"/>
                    </a:xfrm>
                    <a:prstGeom prst="rect">
                      <a:avLst/>
                    </a:prstGeom>
                  </pic:spPr>
                </pic:pic>
              </a:graphicData>
            </a:graphic>
          </wp:inline>
        </w:drawing>
      </w:r>
    </w:p>
    <w:p w14:paraId="2BCEBCB1" w14:textId="2DCAA3B4" w:rsidR="0075548E" w:rsidRPr="007A3BEC" w:rsidRDefault="0075548E" w:rsidP="007A3BEC">
      <w:pPr>
        <w:pStyle w:val="NoSpacing"/>
      </w:pPr>
      <w:r w:rsidRPr="007A3BEC">
        <w:t>The above reject indicates the end use is missing on lines 48, 50, and 57.</w:t>
      </w:r>
    </w:p>
    <w:p w14:paraId="1A336EEB" w14:textId="49F45711" w:rsidR="0075548E" w:rsidRDefault="0075548E" w:rsidP="007A3BEC">
      <w:pPr>
        <w:pStyle w:val="NoSpacing"/>
      </w:pPr>
      <w:r w:rsidRPr="007A3BEC">
        <w:drawing>
          <wp:inline distT="0" distB="0" distL="0" distR="0" wp14:anchorId="3FCFC825" wp14:editId="4B279E65">
            <wp:extent cx="6400800" cy="11658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1165860"/>
                    </a:xfrm>
                    <a:prstGeom prst="rect">
                      <a:avLst/>
                    </a:prstGeom>
                  </pic:spPr>
                </pic:pic>
              </a:graphicData>
            </a:graphic>
          </wp:inline>
        </w:drawing>
      </w:r>
    </w:p>
    <w:p w14:paraId="3DBD00DE" w14:textId="6F4C6A7A" w:rsidR="0075548E" w:rsidRPr="007A3BEC" w:rsidRDefault="0075548E" w:rsidP="007A3BEC">
      <w:pPr>
        <w:pStyle w:val="NoSpacing"/>
      </w:pPr>
      <w:r w:rsidRPr="007A3BEC">
        <w:t>The above reject indicates there is an LPCO attach</w:t>
      </w:r>
      <w:r w:rsidR="00A16101" w:rsidRPr="007A3BEC">
        <w:t>ment</w:t>
      </w:r>
      <w:r w:rsidRPr="007A3BEC">
        <w:t xml:space="preserve"> missing for one or more of the lines.</w:t>
      </w:r>
    </w:p>
    <w:p w14:paraId="73AEB6AD" w14:textId="621254BA" w:rsidR="00A16101" w:rsidRDefault="00A16101" w:rsidP="00A16101">
      <w:pPr>
        <w:pStyle w:val="Heading2"/>
      </w:pPr>
      <w:r>
        <w:t>TC reject</w:t>
      </w:r>
      <w:r w:rsidR="00355A40">
        <w:t>s</w:t>
      </w:r>
    </w:p>
    <w:p w14:paraId="7B4C4BA9" w14:textId="50634145" w:rsidR="0075548E" w:rsidRDefault="00A16101" w:rsidP="00F15995">
      <w:pPr>
        <w:pStyle w:val="NoSpacing"/>
      </w:pPr>
      <w:r>
        <w:t>TC includes their RIV (Registrar of Imported Vehicles) contact information at the bottom of their reject message. This is your indication that the reject is on a line with TC.</w:t>
      </w:r>
    </w:p>
    <w:p w14:paraId="6FC41873" w14:textId="7135A080" w:rsidR="00A16101" w:rsidRDefault="00A16101" w:rsidP="00F15995">
      <w:pPr>
        <w:pStyle w:val="NoSpacing"/>
      </w:pPr>
      <w:r w:rsidRPr="00A16101">
        <w:rPr>
          <w:noProof/>
        </w:rPr>
        <w:drawing>
          <wp:inline distT="0" distB="0" distL="0" distR="0" wp14:anchorId="315B4244" wp14:editId="700AA499">
            <wp:extent cx="6400800" cy="960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960120"/>
                    </a:xfrm>
                    <a:prstGeom prst="rect">
                      <a:avLst/>
                    </a:prstGeom>
                  </pic:spPr>
                </pic:pic>
              </a:graphicData>
            </a:graphic>
          </wp:inline>
        </w:drawing>
      </w:r>
    </w:p>
    <w:p w14:paraId="081B5AD1" w14:textId="49D5C243" w:rsidR="0075548E" w:rsidRDefault="00A16101" w:rsidP="00F15995">
      <w:pPr>
        <w:pStyle w:val="NoSpacing"/>
      </w:pPr>
      <w:r>
        <w:t xml:space="preserve">The above reject indicates the WMI code is missing in the Manufacturer’s TCP profile. A manager or 2IC should be able to edit the TCP profile and </w:t>
      </w:r>
      <w:r w:rsidR="00C177D0">
        <w:t>update</w:t>
      </w:r>
      <w:r>
        <w:t xml:space="preserve"> this code.</w:t>
      </w:r>
    </w:p>
    <w:p w14:paraId="288A5770" w14:textId="4302DFBC" w:rsidR="00C177D0" w:rsidRDefault="00C177D0" w:rsidP="00F15995">
      <w:pPr>
        <w:pStyle w:val="NoSpacing"/>
      </w:pPr>
      <w:r w:rsidRPr="00C177D0">
        <w:rPr>
          <w:noProof/>
        </w:rPr>
        <w:drawing>
          <wp:inline distT="0" distB="0" distL="0" distR="0" wp14:anchorId="1CA4F219" wp14:editId="08D7346D">
            <wp:extent cx="6400800" cy="7423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742315"/>
                    </a:xfrm>
                    <a:prstGeom prst="rect">
                      <a:avLst/>
                    </a:prstGeom>
                  </pic:spPr>
                </pic:pic>
              </a:graphicData>
            </a:graphic>
          </wp:inline>
        </w:drawing>
      </w:r>
    </w:p>
    <w:p w14:paraId="604E1A98" w14:textId="6599B48B" w:rsidR="00C177D0" w:rsidRDefault="00C177D0" w:rsidP="00F15995">
      <w:pPr>
        <w:pStyle w:val="NoSpacing"/>
      </w:pPr>
      <w:r>
        <w:t>The above reject indicates the VIN number is missing on one of the lines with TC.</w:t>
      </w:r>
    </w:p>
    <w:p w14:paraId="372FF4E9" w14:textId="638AF20B" w:rsidR="00C177D0" w:rsidRDefault="00C177D0" w:rsidP="00F15995">
      <w:pPr>
        <w:pStyle w:val="NoSpacing"/>
      </w:pPr>
      <w:r w:rsidRPr="00C177D0">
        <w:rPr>
          <w:noProof/>
        </w:rPr>
        <w:drawing>
          <wp:inline distT="0" distB="0" distL="0" distR="0" wp14:anchorId="4D59BA7F" wp14:editId="167D64A6">
            <wp:extent cx="6400800" cy="14547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1454785"/>
                    </a:xfrm>
                    <a:prstGeom prst="rect">
                      <a:avLst/>
                    </a:prstGeom>
                  </pic:spPr>
                </pic:pic>
              </a:graphicData>
            </a:graphic>
          </wp:inline>
        </w:drawing>
      </w:r>
    </w:p>
    <w:p w14:paraId="6474839C" w14:textId="020FD556" w:rsidR="00C177D0" w:rsidRDefault="00C177D0" w:rsidP="00F15995">
      <w:pPr>
        <w:pStyle w:val="NoSpacing"/>
      </w:pPr>
      <w:r>
        <w:t>The above reject indicates the Exception Processing Code is missing on one or more lines with TC.</w:t>
      </w:r>
    </w:p>
    <w:p w14:paraId="3477F492" w14:textId="78EE64F2" w:rsidR="007A3BEC" w:rsidRDefault="007A3BEC" w:rsidP="00F15995">
      <w:pPr>
        <w:pStyle w:val="NoSpacing"/>
      </w:pPr>
    </w:p>
    <w:p w14:paraId="6CA39BEF" w14:textId="77777777" w:rsidR="007A3BEC" w:rsidRDefault="007A3BEC" w:rsidP="00F15995">
      <w:pPr>
        <w:pStyle w:val="NoSpacing"/>
      </w:pPr>
    </w:p>
    <w:p w14:paraId="1DE927F4" w14:textId="2D63A088" w:rsidR="00C177D0" w:rsidRDefault="00C177D0" w:rsidP="00C177D0">
      <w:pPr>
        <w:pStyle w:val="Heading2"/>
      </w:pPr>
      <w:r>
        <w:lastRenderedPageBreak/>
        <w:t>ECCC reject</w:t>
      </w:r>
      <w:r w:rsidR="00355A40">
        <w:t>s</w:t>
      </w:r>
    </w:p>
    <w:p w14:paraId="37913AD5" w14:textId="7EC1C01D" w:rsidR="00C177D0" w:rsidRDefault="00C177D0" w:rsidP="00F15995">
      <w:pPr>
        <w:pStyle w:val="NoSpacing"/>
      </w:pPr>
      <w:r>
        <w:t xml:space="preserve">ECCC </w:t>
      </w:r>
      <w:r w:rsidR="00FE3052">
        <w:t>includes</w:t>
      </w:r>
      <w:r>
        <w:t xml:space="preserve"> the contact information for TCCU (Technical Commercial Client Unit) at the bottom of their reject messages. This contact is not exclusive to ECCC so there could be other PGAs that use the same contact info. For ECCC, you may have to guess the PGA based on the reject message itself.</w:t>
      </w:r>
    </w:p>
    <w:p w14:paraId="41C07397" w14:textId="2544EF20" w:rsidR="00C177D0" w:rsidRDefault="00C177D0" w:rsidP="00F15995">
      <w:pPr>
        <w:pStyle w:val="NoSpacing"/>
      </w:pPr>
      <w:r w:rsidRPr="00C177D0">
        <w:rPr>
          <w:noProof/>
        </w:rPr>
        <w:drawing>
          <wp:inline distT="0" distB="0" distL="0" distR="0" wp14:anchorId="4B257E19" wp14:editId="0829440A">
            <wp:extent cx="6400800" cy="94932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949325"/>
                    </a:xfrm>
                    <a:prstGeom prst="rect">
                      <a:avLst/>
                    </a:prstGeom>
                  </pic:spPr>
                </pic:pic>
              </a:graphicData>
            </a:graphic>
          </wp:inline>
        </w:drawing>
      </w:r>
    </w:p>
    <w:p w14:paraId="609660EF" w14:textId="1774ABE3" w:rsidR="00F0699E" w:rsidRDefault="00F0699E" w:rsidP="00F15995">
      <w:pPr>
        <w:pStyle w:val="NoSpacing"/>
      </w:pPr>
      <w:r>
        <w:t>The above reject indicates there is a compliance statement missing on one of the lines. The only PGAs that use compliance statements are TC and ECCC, and TC includes the RIV contact info at the bottom of their rejects, so this will likely be a reject for a line with ECCC.</w:t>
      </w:r>
    </w:p>
    <w:p w14:paraId="1594410B" w14:textId="75275A74" w:rsidR="00F0699E" w:rsidRDefault="00F0699E" w:rsidP="00F15995">
      <w:pPr>
        <w:pStyle w:val="NoSpacing"/>
      </w:pPr>
      <w:r w:rsidRPr="00F0699E">
        <w:rPr>
          <w:noProof/>
        </w:rPr>
        <w:drawing>
          <wp:inline distT="0" distB="0" distL="0" distR="0" wp14:anchorId="491D8291" wp14:editId="7527063D">
            <wp:extent cx="6400800" cy="9385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938530"/>
                    </a:xfrm>
                    <a:prstGeom prst="rect">
                      <a:avLst/>
                    </a:prstGeom>
                  </pic:spPr>
                </pic:pic>
              </a:graphicData>
            </a:graphic>
          </wp:inline>
        </w:drawing>
      </w:r>
    </w:p>
    <w:p w14:paraId="01C5FD92" w14:textId="40B03D6E" w:rsidR="00F0699E" w:rsidRDefault="00F0699E" w:rsidP="00F15995">
      <w:pPr>
        <w:pStyle w:val="NoSpacing"/>
      </w:pPr>
      <w:r>
        <w:t>The above reject indicates the product category code is missing on one of the lines. ECCC</w:t>
      </w:r>
      <w:r w:rsidR="00355A40">
        <w:t xml:space="preserve"> is one</w:t>
      </w:r>
      <w:r>
        <w:t xml:space="preserve"> of the PGAs that use product category codes, so the reject could be for one of the lines with ECCC.</w:t>
      </w:r>
    </w:p>
    <w:p w14:paraId="20576944" w14:textId="00BEA8F0" w:rsidR="00F0699E" w:rsidRDefault="00F0699E" w:rsidP="00F0699E">
      <w:pPr>
        <w:pStyle w:val="Heading2"/>
      </w:pPr>
      <w:r>
        <w:t>NRCAN reject</w:t>
      </w:r>
      <w:r w:rsidR="00355A40">
        <w:t>s</w:t>
      </w:r>
    </w:p>
    <w:p w14:paraId="4109E87E" w14:textId="65BF4B87" w:rsidR="00355A40" w:rsidRDefault="00355A40" w:rsidP="00355A40">
      <w:pPr>
        <w:pStyle w:val="NoSpacing"/>
      </w:pPr>
      <w:r>
        <w:t xml:space="preserve">NRCAN </w:t>
      </w:r>
      <w:r w:rsidR="00FE3052">
        <w:t>includes</w:t>
      </w:r>
      <w:r>
        <w:t xml:space="preserve"> the contact information for TCCU (Technical Commercial Client Unit) at the bottom of their reject messages. This contact is not exclusive to NRCAN so there could be other PGAs that use the same contact info. For NRCAN, you may have to guess the PGA based on the reject message itself.</w:t>
      </w:r>
    </w:p>
    <w:p w14:paraId="6C744617" w14:textId="64E0728B" w:rsidR="00355A40" w:rsidRDefault="00355A40" w:rsidP="00355A40">
      <w:pPr>
        <w:pStyle w:val="NoSpacing"/>
      </w:pPr>
      <w:r w:rsidRPr="00355A40">
        <w:rPr>
          <w:noProof/>
        </w:rPr>
        <w:drawing>
          <wp:inline distT="0" distB="0" distL="0" distR="0" wp14:anchorId="7DDEBA68" wp14:editId="4F49FFA0">
            <wp:extent cx="6400800" cy="9550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955040"/>
                    </a:xfrm>
                    <a:prstGeom prst="rect">
                      <a:avLst/>
                    </a:prstGeom>
                  </pic:spPr>
                </pic:pic>
              </a:graphicData>
            </a:graphic>
          </wp:inline>
        </w:drawing>
      </w:r>
    </w:p>
    <w:p w14:paraId="2B06ADE1" w14:textId="6D41E6A8" w:rsidR="00DB0CC7" w:rsidRDefault="00355A40" w:rsidP="00F15995">
      <w:pPr>
        <w:pStyle w:val="NoSpacing"/>
      </w:pPr>
      <w:r>
        <w:t>The above reject indicate</w:t>
      </w:r>
      <w:r w:rsidR="007A3BEC">
        <w:t>s</w:t>
      </w:r>
      <w:r>
        <w:t xml:space="preserve"> the brand name, product name, and model name are missing on one of the lines. This grouping of PGA details </w:t>
      </w:r>
      <w:r w:rsidR="007A3BEC">
        <w:t>is</w:t>
      </w:r>
      <w:r>
        <w:t xml:space="preserve"> usually provided for NRCAN so the reject is likely on a line with NRCAN.</w:t>
      </w:r>
    </w:p>
    <w:p w14:paraId="73EA9410" w14:textId="441F21E1" w:rsidR="00A16101" w:rsidRDefault="00DB0CC7" w:rsidP="00A16101">
      <w:pPr>
        <w:pStyle w:val="Heading2"/>
      </w:pPr>
      <w:r>
        <w:t>GAC</w:t>
      </w:r>
      <w:r w:rsidR="00A16101">
        <w:t xml:space="preserve"> reject</w:t>
      </w:r>
      <w:r w:rsidR="00355A40">
        <w:t>s</w:t>
      </w:r>
    </w:p>
    <w:p w14:paraId="07F7D5F6" w14:textId="06544DD4" w:rsidR="00325A0A" w:rsidRDefault="00DB0CC7" w:rsidP="00F15995">
      <w:pPr>
        <w:pStyle w:val="NoSpacing"/>
      </w:pPr>
      <w:r>
        <w:t>GAC includes their EICS (Export and Import Controls System) contact information at the bottom of their reject message. This is your indication that the reject is on a line with GAC.</w:t>
      </w:r>
    </w:p>
    <w:p w14:paraId="14E6C534" w14:textId="43E9567B" w:rsidR="00DB0CC7" w:rsidRDefault="00DB0CC7" w:rsidP="00F15995">
      <w:pPr>
        <w:pStyle w:val="NoSpacing"/>
      </w:pPr>
      <w:r w:rsidRPr="00DB0CC7">
        <w:rPr>
          <w:noProof/>
        </w:rPr>
        <w:drawing>
          <wp:inline distT="0" distB="0" distL="0" distR="0" wp14:anchorId="69A7737D" wp14:editId="59635C5F">
            <wp:extent cx="6400800" cy="11341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1134110"/>
                    </a:xfrm>
                    <a:prstGeom prst="rect">
                      <a:avLst/>
                    </a:prstGeom>
                  </pic:spPr>
                </pic:pic>
              </a:graphicData>
            </a:graphic>
          </wp:inline>
        </w:drawing>
      </w:r>
    </w:p>
    <w:p w14:paraId="10EDFD36" w14:textId="1F611612" w:rsidR="00F15995" w:rsidRDefault="00DB0CC7" w:rsidP="00F15995">
      <w:pPr>
        <w:pStyle w:val="NoSpacing"/>
      </w:pPr>
      <w:r>
        <w:t>The above reject indicates the LPCO attachment is missing or incorrect on one of the lines with GAC.</w:t>
      </w:r>
    </w:p>
    <w:p w14:paraId="4EB321B3" w14:textId="6307FA6D" w:rsidR="00355A40" w:rsidRDefault="00355A40" w:rsidP="00355A40">
      <w:pPr>
        <w:pStyle w:val="Heading2"/>
      </w:pPr>
      <w:r>
        <w:t>HC rejects</w:t>
      </w:r>
    </w:p>
    <w:p w14:paraId="1D2263C7" w14:textId="1937645B" w:rsidR="00F15995" w:rsidRDefault="00FE3052" w:rsidP="00F15995">
      <w:pPr>
        <w:pStyle w:val="NoSpacing"/>
      </w:pPr>
      <w:r>
        <w:t>HC</w:t>
      </w:r>
      <w:r>
        <w:t xml:space="preserve"> in</w:t>
      </w:r>
      <w:r>
        <w:t>cludes</w:t>
      </w:r>
      <w:r>
        <w:t xml:space="preserve"> the contact information for TCCU (Technical Commercial Client Unit) at the bottom of their reject messages. This contact is not exclusive to </w:t>
      </w:r>
      <w:r>
        <w:t xml:space="preserve">HC </w:t>
      </w:r>
      <w:r>
        <w:t xml:space="preserve">so there could be other PGAs that use the same contact info. For </w:t>
      </w:r>
      <w:r>
        <w:t>HC</w:t>
      </w:r>
      <w:r>
        <w:t>, you may have to guess the PGA based on the reject message itself.</w:t>
      </w:r>
    </w:p>
    <w:p w14:paraId="600EE59D" w14:textId="08B19BCF" w:rsidR="00FE3052" w:rsidRDefault="00FE3052" w:rsidP="00F15995">
      <w:pPr>
        <w:pStyle w:val="NoSpacing"/>
      </w:pPr>
      <w:r w:rsidRPr="00FE3052">
        <w:lastRenderedPageBreak/>
        <w:drawing>
          <wp:inline distT="0" distB="0" distL="0" distR="0" wp14:anchorId="20B3019C" wp14:editId="45D0090C">
            <wp:extent cx="6400800" cy="950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950595"/>
                    </a:xfrm>
                    <a:prstGeom prst="rect">
                      <a:avLst/>
                    </a:prstGeom>
                  </pic:spPr>
                </pic:pic>
              </a:graphicData>
            </a:graphic>
          </wp:inline>
        </w:drawing>
      </w:r>
    </w:p>
    <w:p w14:paraId="1E69E384" w14:textId="77777777" w:rsidR="00F15995" w:rsidRDefault="00FE3052" w:rsidP="00F15995">
      <w:pPr>
        <w:pStyle w:val="NoSpacing"/>
      </w:pPr>
      <w:r>
        <w:t>The above reject indicates there is something wrong with the intended use code on one of the lines. Intended use is one of the required fields for HC, so this reject could be for a line with HC.</w:t>
      </w:r>
      <w:bookmarkStart w:id="0" w:name="_GoBack"/>
      <w:bookmarkEnd w:id="0"/>
    </w:p>
    <w:p w14:paraId="335092D9" w14:textId="77777777" w:rsidR="007A3BEC" w:rsidRDefault="007A3BEC" w:rsidP="00F15995">
      <w:pPr>
        <w:pStyle w:val="NoSpacing"/>
      </w:pPr>
    </w:p>
    <w:p w14:paraId="6AB67F40" w14:textId="77777777" w:rsidR="007A3BEC" w:rsidRDefault="007A3BEC" w:rsidP="00F15995">
      <w:pPr>
        <w:pStyle w:val="NoSpacing"/>
      </w:pPr>
    </w:p>
    <w:p w14:paraId="102B9EA5" w14:textId="351E6932" w:rsidR="007A3BEC" w:rsidRPr="00182AE4" w:rsidRDefault="007A3BEC" w:rsidP="00F15995">
      <w:pPr>
        <w:pStyle w:val="NoSpacing"/>
        <w:sectPr w:rsidR="007A3BEC" w:rsidRPr="00182AE4" w:rsidSect="007A3BEC">
          <w:pgSz w:w="12240" w:h="15840"/>
          <w:pgMar w:top="720" w:right="720" w:bottom="720" w:left="720" w:header="720" w:footer="720" w:gutter="0"/>
          <w:cols w:space="720"/>
          <w:docGrid w:linePitch="360"/>
        </w:sectPr>
      </w:pPr>
    </w:p>
    <w:p w14:paraId="7471CBC6" w14:textId="77777777" w:rsidR="00CA11C2" w:rsidRDefault="00CA11C2" w:rsidP="00CA11C2">
      <w:pPr>
        <w:pStyle w:val="Heading1"/>
      </w:pPr>
      <w:r>
        <w:lastRenderedPageBreak/>
        <w:t>list of data segments</w:t>
      </w:r>
    </w:p>
    <w:p w14:paraId="4CA34EBC" w14:textId="77777777" w:rsidR="00DD3332" w:rsidRPr="00DD3332" w:rsidRDefault="00DD3332" w:rsidP="00CA11C2">
      <w:pPr>
        <w:autoSpaceDE w:val="0"/>
        <w:autoSpaceDN w:val="0"/>
        <w:adjustRightInd w:val="0"/>
        <w:spacing w:before="0" w:after="0" w:line="240" w:lineRule="auto"/>
        <w:rPr>
          <w:rFonts w:ascii="Arial" w:hAnsi="Arial" w:cs="Arial"/>
          <w:bCs/>
          <w:color w:val="000000"/>
          <w:sz w:val="16"/>
          <w:szCs w:val="16"/>
        </w:rPr>
      </w:pPr>
      <w:r>
        <w:rPr>
          <w:rFonts w:ascii="Arial" w:hAnsi="Arial" w:cs="Arial"/>
          <w:bCs/>
          <w:color w:val="000000"/>
          <w:sz w:val="16"/>
          <w:szCs w:val="16"/>
        </w:rPr>
        <w:t xml:space="preserve">Please not there could be more than one occurrence of the same data segment. For example, </w:t>
      </w:r>
      <w:r w:rsidRPr="00DD3332">
        <w:rPr>
          <w:rFonts w:ascii="Arial" w:hAnsi="Arial" w:cs="Arial"/>
          <w:b/>
          <w:bCs/>
          <w:color w:val="000000"/>
          <w:sz w:val="16"/>
          <w:szCs w:val="16"/>
        </w:rPr>
        <w:t>LOC</w:t>
      </w:r>
      <w:r>
        <w:rPr>
          <w:rFonts w:ascii="Arial" w:hAnsi="Arial" w:cs="Arial"/>
          <w:bCs/>
          <w:color w:val="000000"/>
          <w:sz w:val="16"/>
          <w:szCs w:val="16"/>
        </w:rPr>
        <w:t xml:space="preserve"> could refer to CBSA Port of Release, Place/Location Identification, Country of Export, Country of Origin, or Commodity Origin.</w:t>
      </w:r>
    </w:p>
    <w:p w14:paraId="30105A0A" w14:textId="77777777" w:rsidR="00DD3332" w:rsidRDefault="00DD3332" w:rsidP="00CA11C2">
      <w:pPr>
        <w:autoSpaceDE w:val="0"/>
        <w:autoSpaceDN w:val="0"/>
        <w:adjustRightInd w:val="0"/>
        <w:spacing w:before="0" w:after="0" w:line="240" w:lineRule="auto"/>
        <w:rPr>
          <w:rFonts w:ascii="Arial" w:hAnsi="Arial" w:cs="Arial"/>
          <w:b/>
          <w:bCs/>
          <w:color w:val="000000"/>
          <w:sz w:val="16"/>
          <w:szCs w:val="16"/>
        </w:rPr>
      </w:pPr>
    </w:p>
    <w:p w14:paraId="7E5B0001" w14:textId="77777777" w:rsidR="00021B5C" w:rsidRDefault="00021B5C" w:rsidP="00CA11C2">
      <w:pPr>
        <w:autoSpaceDE w:val="0"/>
        <w:autoSpaceDN w:val="0"/>
        <w:adjustRightInd w:val="0"/>
        <w:spacing w:before="0" w:after="0" w:line="240" w:lineRule="auto"/>
        <w:rPr>
          <w:rFonts w:ascii="Arial" w:hAnsi="Arial" w:cs="Arial"/>
          <w:b/>
          <w:bCs/>
          <w:color w:val="000000"/>
          <w:sz w:val="16"/>
          <w:szCs w:val="16"/>
        </w:rPr>
        <w:sectPr w:rsidR="00021B5C" w:rsidSect="00021B5C">
          <w:pgSz w:w="12240" w:h="15840"/>
          <w:pgMar w:top="720" w:right="720" w:bottom="720" w:left="720" w:header="720" w:footer="720" w:gutter="0"/>
          <w:cols w:space="720"/>
          <w:docGrid w:linePitch="360"/>
        </w:sectPr>
      </w:pPr>
    </w:p>
    <w:p w14:paraId="041C266B"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UNA</w:t>
      </w:r>
      <w:r>
        <w:rPr>
          <w:rFonts w:ascii="Arial" w:hAnsi="Arial" w:cs="Arial"/>
          <w:b/>
          <w:bCs/>
          <w:color w:val="000000"/>
          <w:sz w:val="16"/>
          <w:szCs w:val="16"/>
        </w:rPr>
        <w:tab/>
      </w:r>
      <w:r>
        <w:rPr>
          <w:rFonts w:ascii="Arial" w:hAnsi="Arial" w:cs="Arial"/>
          <w:color w:val="000000"/>
          <w:sz w:val="16"/>
          <w:szCs w:val="16"/>
        </w:rPr>
        <w:t>Service string advice</w:t>
      </w:r>
    </w:p>
    <w:p w14:paraId="46FA9AA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UNB</w:t>
      </w:r>
      <w:r>
        <w:rPr>
          <w:rFonts w:ascii="Arial" w:hAnsi="Arial" w:cs="Arial"/>
          <w:b/>
          <w:bCs/>
          <w:color w:val="000000"/>
          <w:sz w:val="16"/>
          <w:szCs w:val="16"/>
        </w:rPr>
        <w:tab/>
      </w:r>
      <w:r>
        <w:rPr>
          <w:rFonts w:ascii="Arial" w:hAnsi="Arial" w:cs="Arial"/>
          <w:color w:val="000000"/>
          <w:sz w:val="16"/>
          <w:szCs w:val="16"/>
        </w:rPr>
        <w:t>Interchange header</w:t>
      </w:r>
    </w:p>
    <w:p w14:paraId="170CEDD0"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UNG</w:t>
      </w:r>
      <w:r>
        <w:rPr>
          <w:rFonts w:ascii="Arial" w:hAnsi="Arial" w:cs="Arial"/>
          <w:b/>
          <w:bCs/>
          <w:color w:val="000000"/>
          <w:sz w:val="16"/>
          <w:szCs w:val="16"/>
        </w:rPr>
        <w:tab/>
      </w:r>
      <w:r>
        <w:rPr>
          <w:rFonts w:ascii="Arial" w:hAnsi="Arial" w:cs="Arial"/>
          <w:color w:val="000000"/>
          <w:sz w:val="16"/>
          <w:szCs w:val="16"/>
        </w:rPr>
        <w:t>Functional group header</w:t>
      </w:r>
    </w:p>
    <w:p w14:paraId="660C0DEA"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UNH</w:t>
      </w:r>
      <w:r>
        <w:rPr>
          <w:rFonts w:ascii="Arial" w:hAnsi="Arial" w:cs="Arial"/>
          <w:b/>
          <w:bCs/>
          <w:color w:val="000000"/>
          <w:sz w:val="16"/>
          <w:szCs w:val="16"/>
        </w:rPr>
        <w:tab/>
      </w:r>
      <w:r>
        <w:rPr>
          <w:rFonts w:ascii="Arial" w:hAnsi="Arial" w:cs="Arial"/>
          <w:color w:val="000000"/>
          <w:sz w:val="16"/>
          <w:szCs w:val="16"/>
        </w:rPr>
        <w:t>Message header</w:t>
      </w:r>
    </w:p>
    <w:p w14:paraId="777EC38A"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BGM</w:t>
      </w:r>
      <w:r>
        <w:rPr>
          <w:rFonts w:ascii="Arial" w:hAnsi="Arial" w:cs="Arial"/>
          <w:b/>
          <w:bCs/>
          <w:color w:val="000000"/>
          <w:sz w:val="16"/>
          <w:szCs w:val="16"/>
        </w:rPr>
        <w:tab/>
      </w:r>
      <w:r>
        <w:rPr>
          <w:rFonts w:ascii="Arial" w:hAnsi="Arial" w:cs="Arial"/>
          <w:color w:val="000000"/>
          <w:sz w:val="16"/>
          <w:szCs w:val="16"/>
        </w:rPr>
        <w:t>Beginning of message</w:t>
      </w:r>
    </w:p>
    <w:p w14:paraId="552076CC"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DTM</w:t>
      </w:r>
      <w:r>
        <w:rPr>
          <w:rFonts w:ascii="Arial" w:hAnsi="Arial" w:cs="Arial"/>
          <w:b/>
          <w:bCs/>
          <w:color w:val="000000"/>
          <w:sz w:val="16"/>
          <w:szCs w:val="16"/>
        </w:rPr>
        <w:tab/>
      </w:r>
      <w:r>
        <w:rPr>
          <w:rFonts w:ascii="Arial" w:hAnsi="Arial" w:cs="Arial"/>
          <w:color w:val="000000"/>
          <w:sz w:val="16"/>
          <w:szCs w:val="16"/>
        </w:rPr>
        <w:t>Estimated Time of Arrival at the First Point of Arrival</w:t>
      </w:r>
    </w:p>
    <w:p w14:paraId="597A5F1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MOA</w:t>
      </w:r>
      <w:r>
        <w:rPr>
          <w:rFonts w:ascii="Arial" w:hAnsi="Arial" w:cs="Arial"/>
          <w:b/>
          <w:bCs/>
          <w:color w:val="000000"/>
          <w:sz w:val="16"/>
          <w:szCs w:val="16"/>
        </w:rPr>
        <w:tab/>
      </w:r>
      <w:r>
        <w:rPr>
          <w:rFonts w:ascii="Arial" w:hAnsi="Arial" w:cs="Arial"/>
          <w:color w:val="000000"/>
          <w:sz w:val="16"/>
          <w:szCs w:val="16"/>
        </w:rPr>
        <w:t>Total Value for Duty</w:t>
      </w:r>
    </w:p>
    <w:p w14:paraId="469E5C7B"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IFD</w:t>
      </w:r>
      <w:r>
        <w:rPr>
          <w:rFonts w:ascii="Arial" w:hAnsi="Arial" w:cs="Arial"/>
          <w:b/>
          <w:bCs/>
          <w:color w:val="000000"/>
          <w:sz w:val="16"/>
          <w:szCs w:val="16"/>
        </w:rPr>
        <w:tab/>
      </w:r>
      <w:r>
        <w:rPr>
          <w:rFonts w:ascii="Arial" w:hAnsi="Arial" w:cs="Arial"/>
          <w:color w:val="000000"/>
          <w:sz w:val="16"/>
          <w:szCs w:val="16"/>
        </w:rPr>
        <w:t>Exception Code</w:t>
      </w:r>
    </w:p>
    <w:p w14:paraId="444EA8D5"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RFF</w:t>
      </w:r>
      <w:r>
        <w:rPr>
          <w:rFonts w:ascii="Arial" w:hAnsi="Arial" w:cs="Arial"/>
          <w:b/>
          <w:bCs/>
          <w:color w:val="000000"/>
          <w:sz w:val="16"/>
          <w:szCs w:val="16"/>
        </w:rPr>
        <w:tab/>
      </w:r>
      <w:r>
        <w:rPr>
          <w:rFonts w:ascii="Arial" w:hAnsi="Arial" w:cs="Arial"/>
          <w:color w:val="000000"/>
          <w:sz w:val="16"/>
          <w:szCs w:val="16"/>
        </w:rPr>
        <w:t>Secondary Business Identifier</w:t>
      </w:r>
    </w:p>
    <w:p w14:paraId="18AFDE87"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RFF</w:t>
      </w:r>
      <w:r>
        <w:rPr>
          <w:rFonts w:ascii="Arial" w:hAnsi="Arial" w:cs="Arial"/>
          <w:b/>
          <w:bCs/>
          <w:color w:val="000000"/>
          <w:sz w:val="16"/>
          <w:szCs w:val="16"/>
        </w:rPr>
        <w:tab/>
      </w:r>
      <w:r>
        <w:rPr>
          <w:rFonts w:ascii="Arial" w:hAnsi="Arial" w:cs="Arial"/>
          <w:color w:val="000000"/>
          <w:sz w:val="16"/>
          <w:szCs w:val="16"/>
        </w:rPr>
        <w:t>Cargo Control Number</w:t>
      </w:r>
    </w:p>
    <w:p w14:paraId="2DF8B125"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SG3</w:t>
      </w:r>
      <w:r>
        <w:rPr>
          <w:rFonts w:ascii="Arial" w:hAnsi="Arial" w:cs="Arial"/>
          <w:b/>
          <w:bCs/>
          <w:color w:val="000000"/>
          <w:sz w:val="16"/>
          <w:szCs w:val="16"/>
        </w:rPr>
        <w:tab/>
      </w:r>
      <w:r>
        <w:rPr>
          <w:rFonts w:ascii="Arial" w:hAnsi="Arial" w:cs="Arial"/>
          <w:color w:val="000000"/>
          <w:sz w:val="16"/>
          <w:szCs w:val="16"/>
        </w:rPr>
        <w:t>PGA Processing Requirements</w:t>
      </w:r>
    </w:p>
    <w:p w14:paraId="38B09296"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GOR</w:t>
      </w:r>
      <w:r>
        <w:rPr>
          <w:rFonts w:ascii="Arial" w:hAnsi="Arial" w:cs="Arial"/>
          <w:b/>
          <w:bCs/>
          <w:color w:val="000000"/>
          <w:sz w:val="16"/>
          <w:szCs w:val="16"/>
        </w:rPr>
        <w:tab/>
      </w:r>
      <w:r>
        <w:rPr>
          <w:rFonts w:ascii="Arial" w:hAnsi="Arial" w:cs="Arial"/>
          <w:color w:val="000000"/>
          <w:sz w:val="16"/>
          <w:szCs w:val="16"/>
        </w:rPr>
        <w:t>Governmental requirements</w:t>
      </w:r>
    </w:p>
    <w:p w14:paraId="68F45C88"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LOC</w:t>
      </w:r>
      <w:r>
        <w:rPr>
          <w:rFonts w:ascii="Arial" w:hAnsi="Arial" w:cs="Arial"/>
          <w:b/>
          <w:bCs/>
          <w:color w:val="000000"/>
          <w:sz w:val="16"/>
          <w:szCs w:val="16"/>
        </w:rPr>
        <w:tab/>
      </w:r>
      <w:r>
        <w:rPr>
          <w:rFonts w:ascii="Arial" w:hAnsi="Arial" w:cs="Arial"/>
          <w:color w:val="000000"/>
          <w:sz w:val="16"/>
          <w:szCs w:val="16"/>
        </w:rPr>
        <w:t>CBSA Port of Release/PGA Processing Location</w:t>
      </w:r>
    </w:p>
    <w:p w14:paraId="018EB7A9"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SG7</w:t>
      </w:r>
      <w:r>
        <w:rPr>
          <w:rFonts w:ascii="Arial" w:hAnsi="Arial" w:cs="Arial"/>
          <w:b/>
          <w:bCs/>
          <w:color w:val="000000"/>
          <w:sz w:val="16"/>
          <w:szCs w:val="16"/>
        </w:rPr>
        <w:tab/>
      </w:r>
      <w:r>
        <w:rPr>
          <w:rFonts w:ascii="Arial" w:hAnsi="Arial" w:cs="Arial"/>
          <w:color w:val="000000"/>
          <w:sz w:val="16"/>
          <w:szCs w:val="16"/>
        </w:rPr>
        <w:t>Declaration/Secondary Notify Parties</w:t>
      </w:r>
    </w:p>
    <w:p w14:paraId="5B28713C"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NAD</w:t>
      </w:r>
      <w:r>
        <w:rPr>
          <w:rFonts w:ascii="Arial" w:hAnsi="Arial" w:cs="Arial"/>
          <w:b/>
          <w:bCs/>
          <w:color w:val="000000"/>
          <w:sz w:val="16"/>
          <w:szCs w:val="16"/>
        </w:rPr>
        <w:tab/>
      </w:r>
      <w:r>
        <w:rPr>
          <w:rFonts w:ascii="Arial" w:hAnsi="Arial" w:cs="Arial"/>
          <w:color w:val="000000"/>
          <w:sz w:val="16"/>
          <w:szCs w:val="16"/>
        </w:rPr>
        <w:t>Declaration/SNP Party Identification</w:t>
      </w:r>
    </w:p>
    <w:p w14:paraId="398CF665"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IFD</w:t>
      </w:r>
      <w:r>
        <w:rPr>
          <w:rFonts w:ascii="Arial" w:hAnsi="Arial" w:cs="Arial"/>
          <w:b/>
          <w:bCs/>
          <w:color w:val="000000"/>
          <w:sz w:val="16"/>
          <w:szCs w:val="16"/>
        </w:rPr>
        <w:tab/>
      </w:r>
      <w:r>
        <w:rPr>
          <w:rFonts w:ascii="Arial" w:hAnsi="Arial" w:cs="Arial"/>
          <w:color w:val="000000"/>
          <w:sz w:val="16"/>
          <w:szCs w:val="16"/>
        </w:rPr>
        <w:t>SNP Notice Type</w:t>
      </w:r>
    </w:p>
    <w:p w14:paraId="6FD55FB3"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SG8</w:t>
      </w:r>
      <w:r>
        <w:rPr>
          <w:rFonts w:ascii="Arial" w:hAnsi="Arial" w:cs="Arial"/>
          <w:b/>
          <w:bCs/>
          <w:color w:val="000000"/>
          <w:sz w:val="16"/>
          <w:szCs w:val="16"/>
        </w:rPr>
        <w:tab/>
      </w:r>
      <w:r>
        <w:rPr>
          <w:rFonts w:ascii="Arial" w:hAnsi="Arial" w:cs="Arial"/>
          <w:color w:val="000000"/>
          <w:sz w:val="16"/>
          <w:szCs w:val="16"/>
        </w:rPr>
        <w:t>Contact Information</w:t>
      </w:r>
    </w:p>
    <w:p w14:paraId="67C53C27"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CTA</w:t>
      </w:r>
      <w:r>
        <w:rPr>
          <w:rFonts w:ascii="Arial" w:hAnsi="Arial" w:cs="Arial"/>
          <w:b/>
          <w:bCs/>
          <w:color w:val="000000"/>
          <w:sz w:val="16"/>
          <w:szCs w:val="16"/>
        </w:rPr>
        <w:tab/>
      </w:r>
      <w:r>
        <w:rPr>
          <w:rFonts w:ascii="Arial" w:hAnsi="Arial" w:cs="Arial"/>
          <w:color w:val="000000"/>
          <w:sz w:val="16"/>
          <w:szCs w:val="16"/>
        </w:rPr>
        <w:t>Contact Identification</w:t>
      </w:r>
    </w:p>
    <w:p w14:paraId="14A19430"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COM</w:t>
      </w:r>
      <w:r>
        <w:rPr>
          <w:rFonts w:ascii="Arial" w:hAnsi="Arial" w:cs="Arial"/>
          <w:b/>
          <w:bCs/>
          <w:color w:val="000000"/>
          <w:sz w:val="16"/>
          <w:szCs w:val="16"/>
        </w:rPr>
        <w:tab/>
      </w:r>
      <w:r>
        <w:rPr>
          <w:rFonts w:ascii="Arial" w:hAnsi="Arial" w:cs="Arial"/>
          <w:color w:val="000000"/>
          <w:sz w:val="16"/>
          <w:szCs w:val="16"/>
        </w:rPr>
        <w:t>Contact Method</w:t>
      </w:r>
    </w:p>
    <w:p w14:paraId="15BEBE1F" w14:textId="7B73D715"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SG9</w:t>
      </w:r>
      <w:r>
        <w:rPr>
          <w:rFonts w:ascii="Arial" w:hAnsi="Arial" w:cs="Arial"/>
          <w:b/>
          <w:bCs/>
          <w:color w:val="000000"/>
          <w:sz w:val="16"/>
          <w:szCs w:val="16"/>
        </w:rPr>
        <w:tab/>
      </w:r>
      <w:r>
        <w:rPr>
          <w:rFonts w:ascii="Arial" w:hAnsi="Arial" w:cs="Arial"/>
          <w:color w:val="000000"/>
          <w:sz w:val="16"/>
          <w:szCs w:val="16"/>
        </w:rPr>
        <w:t>Licen</w:t>
      </w:r>
      <w:r w:rsidR="009432D0">
        <w:rPr>
          <w:rFonts w:ascii="Arial" w:hAnsi="Arial" w:cs="Arial"/>
          <w:color w:val="000000"/>
          <w:sz w:val="16"/>
          <w:szCs w:val="16"/>
        </w:rPr>
        <w:t>s</w:t>
      </w:r>
      <w:r>
        <w:rPr>
          <w:rFonts w:ascii="Arial" w:hAnsi="Arial" w:cs="Arial"/>
          <w:color w:val="000000"/>
          <w:sz w:val="16"/>
          <w:szCs w:val="16"/>
        </w:rPr>
        <w:t>e/Permit/Certificate/Other Documents</w:t>
      </w:r>
    </w:p>
    <w:p w14:paraId="5190661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DOC</w:t>
      </w:r>
      <w:r>
        <w:rPr>
          <w:rFonts w:ascii="Arial" w:hAnsi="Arial" w:cs="Arial"/>
          <w:b/>
          <w:bCs/>
          <w:color w:val="000000"/>
          <w:sz w:val="16"/>
          <w:szCs w:val="16"/>
        </w:rPr>
        <w:tab/>
      </w:r>
      <w:r>
        <w:rPr>
          <w:rFonts w:ascii="Arial" w:hAnsi="Arial" w:cs="Arial"/>
          <w:color w:val="000000"/>
          <w:sz w:val="16"/>
          <w:szCs w:val="16"/>
        </w:rPr>
        <w:t>Document Identification Details</w:t>
      </w:r>
    </w:p>
    <w:p w14:paraId="2BA8FDA9"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RFF</w:t>
      </w:r>
      <w:r>
        <w:rPr>
          <w:rFonts w:ascii="Arial" w:hAnsi="Arial" w:cs="Arial"/>
          <w:b/>
          <w:bCs/>
          <w:color w:val="000000"/>
          <w:sz w:val="16"/>
          <w:szCs w:val="16"/>
        </w:rPr>
        <w:tab/>
      </w:r>
      <w:r>
        <w:rPr>
          <w:rFonts w:ascii="Arial" w:hAnsi="Arial" w:cs="Arial"/>
          <w:color w:val="000000"/>
          <w:sz w:val="16"/>
          <w:szCs w:val="16"/>
        </w:rPr>
        <w:t>Secondary Reference Information</w:t>
      </w:r>
    </w:p>
    <w:p w14:paraId="0D18018F"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DTM</w:t>
      </w:r>
      <w:r>
        <w:rPr>
          <w:rFonts w:ascii="Arial" w:hAnsi="Arial" w:cs="Arial"/>
          <w:b/>
          <w:bCs/>
          <w:color w:val="000000"/>
          <w:sz w:val="16"/>
          <w:szCs w:val="16"/>
        </w:rPr>
        <w:tab/>
      </w:r>
      <w:r>
        <w:rPr>
          <w:rFonts w:ascii="Arial" w:hAnsi="Arial" w:cs="Arial"/>
          <w:color w:val="000000"/>
          <w:sz w:val="16"/>
          <w:szCs w:val="16"/>
        </w:rPr>
        <w:t>Issue/Effective/Expiry Dates</w:t>
      </w:r>
    </w:p>
    <w:p w14:paraId="6D007129"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QTY</w:t>
      </w:r>
      <w:r>
        <w:rPr>
          <w:rFonts w:ascii="Arial" w:hAnsi="Arial" w:cs="Arial"/>
          <w:b/>
          <w:bCs/>
          <w:color w:val="000000"/>
          <w:sz w:val="16"/>
          <w:szCs w:val="16"/>
        </w:rPr>
        <w:tab/>
      </w:r>
      <w:r>
        <w:rPr>
          <w:rFonts w:ascii="Arial" w:hAnsi="Arial" w:cs="Arial"/>
          <w:color w:val="000000"/>
          <w:sz w:val="16"/>
          <w:szCs w:val="16"/>
        </w:rPr>
        <w:t>Documented Alternative Quota Quantity</w:t>
      </w:r>
    </w:p>
    <w:p w14:paraId="45022429"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SG10</w:t>
      </w:r>
      <w:r>
        <w:rPr>
          <w:rFonts w:ascii="Arial" w:hAnsi="Arial" w:cs="Arial"/>
          <w:b/>
          <w:bCs/>
          <w:color w:val="000000"/>
          <w:sz w:val="16"/>
          <w:szCs w:val="16"/>
        </w:rPr>
        <w:tab/>
      </w:r>
      <w:r>
        <w:rPr>
          <w:rFonts w:ascii="Arial" w:hAnsi="Arial" w:cs="Arial"/>
          <w:color w:val="000000"/>
          <w:sz w:val="16"/>
          <w:szCs w:val="16"/>
        </w:rPr>
        <w:t>LPCO Parties</w:t>
      </w:r>
    </w:p>
    <w:p w14:paraId="7E3212E1"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NAD</w:t>
      </w:r>
      <w:r>
        <w:rPr>
          <w:rFonts w:ascii="Arial" w:hAnsi="Arial" w:cs="Arial"/>
          <w:b/>
          <w:bCs/>
          <w:color w:val="000000"/>
          <w:sz w:val="16"/>
          <w:szCs w:val="16"/>
        </w:rPr>
        <w:tab/>
      </w:r>
      <w:r>
        <w:rPr>
          <w:rFonts w:ascii="Arial" w:hAnsi="Arial" w:cs="Arial"/>
          <w:color w:val="000000"/>
          <w:sz w:val="16"/>
          <w:szCs w:val="16"/>
        </w:rPr>
        <w:t>Name and address</w:t>
      </w:r>
    </w:p>
    <w:p w14:paraId="620B47B5"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SG11</w:t>
      </w:r>
      <w:r w:rsidR="00DD3332">
        <w:rPr>
          <w:rFonts w:ascii="Arial" w:hAnsi="Arial" w:cs="Arial"/>
          <w:b/>
          <w:bCs/>
          <w:color w:val="000000"/>
          <w:sz w:val="16"/>
          <w:szCs w:val="16"/>
        </w:rPr>
        <w:tab/>
      </w:r>
      <w:r>
        <w:rPr>
          <w:rFonts w:ascii="Arial" w:hAnsi="Arial" w:cs="Arial"/>
          <w:color w:val="000000"/>
          <w:sz w:val="16"/>
          <w:szCs w:val="16"/>
        </w:rPr>
        <w:t>Contact Information</w:t>
      </w:r>
    </w:p>
    <w:p w14:paraId="65CAE243"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CTA</w:t>
      </w:r>
      <w:r w:rsidR="00DD3332">
        <w:rPr>
          <w:rFonts w:ascii="Arial" w:hAnsi="Arial" w:cs="Arial"/>
          <w:b/>
          <w:bCs/>
          <w:color w:val="000000"/>
          <w:sz w:val="16"/>
          <w:szCs w:val="16"/>
        </w:rPr>
        <w:tab/>
      </w:r>
      <w:r>
        <w:rPr>
          <w:rFonts w:ascii="Arial" w:hAnsi="Arial" w:cs="Arial"/>
          <w:color w:val="000000"/>
          <w:sz w:val="16"/>
          <w:szCs w:val="16"/>
        </w:rPr>
        <w:t>Contact Identification</w:t>
      </w:r>
    </w:p>
    <w:p w14:paraId="335719A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COM</w:t>
      </w:r>
      <w:r w:rsidR="00DD3332">
        <w:rPr>
          <w:rFonts w:ascii="Arial" w:hAnsi="Arial" w:cs="Arial"/>
          <w:b/>
          <w:bCs/>
          <w:color w:val="000000"/>
          <w:sz w:val="16"/>
          <w:szCs w:val="16"/>
        </w:rPr>
        <w:tab/>
      </w:r>
      <w:r>
        <w:rPr>
          <w:rFonts w:ascii="Arial" w:hAnsi="Arial" w:cs="Arial"/>
          <w:color w:val="000000"/>
          <w:sz w:val="16"/>
          <w:szCs w:val="16"/>
        </w:rPr>
        <w:t>Contact Method</w:t>
      </w:r>
    </w:p>
    <w:p w14:paraId="2F80ECEC"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SG12</w:t>
      </w:r>
      <w:r w:rsidR="00DD3332">
        <w:rPr>
          <w:rFonts w:ascii="Arial" w:hAnsi="Arial" w:cs="Arial"/>
          <w:b/>
          <w:bCs/>
          <w:color w:val="000000"/>
          <w:sz w:val="16"/>
          <w:szCs w:val="16"/>
        </w:rPr>
        <w:tab/>
      </w:r>
      <w:r>
        <w:rPr>
          <w:rFonts w:ascii="Arial" w:hAnsi="Arial" w:cs="Arial"/>
          <w:color w:val="000000"/>
          <w:sz w:val="16"/>
          <w:szCs w:val="16"/>
        </w:rPr>
        <w:t>LPCO Issuing/Place of Authentication Location</w:t>
      </w:r>
    </w:p>
    <w:p w14:paraId="000DE2D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LOC</w:t>
      </w:r>
      <w:r w:rsidR="00DD3332">
        <w:rPr>
          <w:rFonts w:ascii="Arial" w:hAnsi="Arial" w:cs="Arial"/>
          <w:b/>
          <w:bCs/>
          <w:color w:val="000000"/>
          <w:sz w:val="16"/>
          <w:szCs w:val="16"/>
        </w:rPr>
        <w:tab/>
      </w:r>
      <w:r>
        <w:rPr>
          <w:rFonts w:ascii="Arial" w:hAnsi="Arial" w:cs="Arial"/>
          <w:color w:val="000000"/>
          <w:sz w:val="16"/>
          <w:szCs w:val="16"/>
        </w:rPr>
        <w:t>Place/location identification</w:t>
      </w:r>
    </w:p>
    <w:p w14:paraId="2FC51CEA"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SG13</w:t>
      </w:r>
      <w:r w:rsidR="00DD3332">
        <w:rPr>
          <w:rFonts w:ascii="Arial" w:hAnsi="Arial" w:cs="Arial"/>
          <w:b/>
          <w:bCs/>
          <w:color w:val="000000"/>
          <w:sz w:val="16"/>
          <w:szCs w:val="16"/>
        </w:rPr>
        <w:tab/>
      </w:r>
      <w:r>
        <w:rPr>
          <w:rFonts w:ascii="Arial" w:hAnsi="Arial" w:cs="Arial"/>
          <w:color w:val="000000"/>
          <w:sz w:val="16"/>
          <w:szCs w:val="16"/>
        </w:rPr>
        <w:t>Additional Inspection/Exception Details</w:t>
      </w:r>
    </w:p>
    <w:p w14:paraId="37F314AD"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RCS</w:t>
      </w:r>
      <w:r w:rsidR="00DD3332">
        <w:rPr>
          <w:rFonts w:ascii="Arial" w:hAnsi="Arial" w:cs="Arial"/>
          <w:b/>
          <w:bCs/>
          <w:color w:val="000000"/>
          <w:sz w:val="16"/>
          <w:szCs w:val="16"/>
        </w:rPr>
        <w:tab/>
      </w:r>
      <w:r>
        <w:rPr>
          <w:rFonts w:ascii="Arial" w:hAnsi="Arial" w:cs="Arial"/>
          <w:color w:val="000000"/>
          <w:sz w:val="16"/>
          <w:szCs w:val="16"/>
        </w:rPr>
        <w:t>Requirements and conditions</w:t>
      </w:r>
    </w:p>
    <w:p w14:paraId="036D05E5"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FTX</w:t>
      </w:r>
      <w:r w:rsidR="00DD3332">
        <w:rPr>
          <w:rFonts w:ascii="Arial" w:hAnsi="Arial" w:cs="Arial"/>
          <w:b/>
          <w:bCs/>
          <w:color w:val="000000"/>
          <w:sz w:val="16"/>
          <w:szCs w:val="16"/>
        </w:rPr>
        <w:tab/>
      </w:r>
      <w:r>
        <w:rPr>
          <w:rFonts w:ascii="Arial" w:hAnsi="Arial" w:cs="Arial"/>
          <w:color w:val="000000"/>
          <w:sz w:val="16"/>
          <w:szCs w:val="16"/>
        </w:rPr>
        <w:t>Free text</w:t>
      </w:r>
    </w:p>
    <w:p w14:paraId="0887DBE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SG15</w:t>
      </w:r>
      <w:r w:rsidR="00DD3332">
        <w:rPr>
          <w:rFonts w:ascii="Arial" w:hAnsi="Arial" w:cs="Arial"/>
          <w:b/>
          <w:bCs/>
          <w:color w:val="000000"/>
          <w:sz w:val="16"/>
          <w:szCs w:val="16"/>
        </w:rPr>
        <w:tab/>
      </w:r>
      <w:r>
        <w:rPr>
          <w:rFonts w:ascii="Arial" w:hAnsi="Arial" w:cs="Arial"/>
          <w:color w:val="000000"/>
          <w:sz w:val="16"/>
          <w:szCs w:val="16"/>
        </w:rPr>
        <w:t>Amendment Reason</w:t>
      </w:r>
    </w:p>
    <w:p w14:paraId="5F0B680F"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AJT</w:t>
      </w:r>
      <w:r w:rsidR="00DD3332">
        <w:rPr>
          <w:rFonts w:ascii="Arial" w:hAnsi="Arial" w:cs="Arial"/>
          <w:b/>
          <w:bCs/>
          <w:color w:val="000000"/>
          <w:sz w:val="16"/>
          <w:szCs w:val="16"/>
        </w:rPr>
        <w:tab/>
      </w:r>
      <w:r>
        <w:rPr>
          <w:rFonts w:ascii="Arial" w:hAnsi="Arial" w:cs="Arial"/>
          <w:color w:val="000000"/>
          <w:sz w:val="16"/>
          <w:szCs w:val="16"/>
        </w:rPr>
        <w:t>Amendment Reason Code</w:t>
      </w:r>
    </w:p>
    <w:p w14:paraId="53A3E40F"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SG25</w:t>
      </w:r>
      <w:r w:rsidR="00DD3332">
        <w:rPr>
          <w:rFonts w:ascii="Arial" w:hAnsi="Arial" w:cs="Arial"/>
          <w:b/>
          <w:bCs/>
          <w:color w:val="000000"/>
          <w:sz w:val="16"/>
          <w:szCs w:val="16"/>
        </w:rPr>
        <w:tab/>
      </w:r>
      <w:r>
        <w:rPr>
          <w:rFonts w:ascii="Arial" w:hAnsi="Arial" w:cs="Arial"/>
          <w:color w:val="000000"/>
          <w:sz w:val="16"/>
          <w:szCs w:val="16"/>
        </w:rPr>
        <w:t>PGA Payment Details</w:t>
      </w:r>
    </w:p>
    <w:p w14:paraId="517100C5"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TAX</w:t>
      </w:r>
      <w:r w:rsidR="00DD3332">
        <w:rPr>
          <w:rFonts w:ascii="Arial" w:hAnsi="Arial" w:cs="Arial"/>
          <w:b/>
          <w:bCs/>
          <w:color w:val="000000"/>
          <w:sz w:val="16"/>
          <w:szCs w:val="16"/>
        </w:rPr>
        <w:tab/>
      </w:r>
      <w:r>
        <w:rPr>
          <w:rFonts w:ascii="Arial" w:hAnsi="Arial" w:cs="Arial"/>
          <w:color w:val="000000"/>
          <w:sz w:val="16"/>
          <w:szCs w:val="16"/>
        </w:rPr>
        <w:t>Fee Details</w:t>
      </w:r>
    </w:p>
    <w:p w14:paraId="77375FED"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SG26</w:t>
      </w:r>
      <w:r w:rsidR="00DD3332">
        <w:rPr>
          <w:rFonts w:ascii="Arial" w:hAnsi="Arial" w:cs="Arial"/>
          <w:b/>
          <w:bCs/>
          <w:color w:val="000000"/>
          <w:sz w:val="16"/>
          <w:szCs w:val="16"/>
        </w:rPr>
        <w:tab/>
      </w:r>
      <w:r>
        <w:rPr>
          <w:rFonts w:ascii="Arial" w:hAnsi="Arial" w:cs="Arial"/>
          <w:color w:val="000000"/>
          <w:sz w:val="16"/>
          <w:szCs w:val="16"/>
        </w:rPr>
        <w:t>PGA Payment Details</w:t>
      </w:r>
    </w:p>
    <w:p w14:paraId="2268098D"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PAI</w:t>
      </w:r>
      <w:r w:rsidR="00DD3332">
        <w:rPr>
          <w:rFonts w:ascii="Arial" w:hAnsi="Arial" w:cs="Arial"/>
          <w:b/>
          <w:bCs/>
          <w:color w:val="000000"/>
          <w:sz w:val="16"/>
          <w:szCs w:val="16"/>
        </w:rPr>
        <w:tab/>
      </w:r>
      <w:r>
        <w:rPr>
          <w:rFonts w:ascii="Arial" w:hAnsi="Arial" w:cs="Arial"/>
          <w:color w:val="000000"/>
          <w:sz w:val="16"/>
          <w:szCs w:val="16"/>
        </w:rPr>
        <w:t>Payment instructions</w:t>
      </w:r>
    </w:p>
    <w:p w14:paraId="0C4322D8"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RFF</w:t>
      </w:r>
      <w:r w:rsidR="00DD3332">
        <w:rPr>
          <w:rFonts w:ascii="Arial" w:hAnsi="Arial" w:cs="Arial"/>
          <w:b/>
          <w:bCs/>
          <w:color w:val="000000"/>
          <w:sz w:val="16"/>
          <w:szCs w:val="16"/>
        </w:rPr>
        <w:tab/>
      </w:r>
      <w:r>
        <w:rPr>
          <w:rFonts w:ascii="Arial" w:hAnsi="Arial" w:cs="Arial"/>
          <w:color w:val="000000"/>
          <w:sz w:val="16"/>
          <w:szCs w:val="16"/>
        </w:rPr>
        <w:t>Reference</w:t>
      </w:r>
    </w:p>
    <w:p w14:paraId="069C69ED"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MOA</w:t>
      </w:r>
      <w:r w:rsidR="00DD3332">
        <w:rPr>
          <w:rFonts w:ascii="Arial" w:hAnsi="Arial" w:cs="Arial"/>
          <w:b/>
          <w:bCs/>
          <w:color w:val="000000"/>
          <w:sz w:val="16"/>
          <w:szCs w:val="16"/>
        </w:rPr>
        <w:tab/>
      </w:r>
      <w:r>
        <w:rPr>
          <w:rFonts w:ascii="Arial" w:hAnsi="Arial" w:cs="Arial"/>
          <w:color w:val="000000"/>
          <w:sz w:val="16"/>
          <w:szCs w:val="16"/>
        </w:rPr>
        <w:t>Monetary amount</w:t>
      </w:r>
    </w:p>
    <w:p w14:paraId="3998581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UNS</w:t>
      </w:r>
      <w:r w:rsidR="00DD3332">
        <w:rPr>
          <w:rFonts w:ascii="Arial" w:hAnsi="Arial" w:cs="Arial"/>
          <w:b/>
          <w:bCs/>
          <w:color w:val="000000"/>
          <w:sz w:val="16"/>
          <w:szCs w:val="16"/>
        </w:rPr>
        <w:tab/>
      </w:r>
      <w:r>
        <w:rPr>
          <w:rFonts w:ascii="Arial" w:hAnsi="Arial" w:cs="Arial"/>
          <w:color w:val="000000"/>
          <w:sz w:val="16"/>
          <w:szCs w:val="16"/>
        </w:rPr>
        <w:t>Section control</w:t>
      </w:r>
    </w:p>
    <w:p w14:paraId="2477CCD6"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SG47</w:t>
      </w:r>
      <w:r w:rsidR="00DD3332">
        <w:rPr>
          <w:rFonts w:ascii="Arial" w:hAnsi="Arial" w:cs="Arial"/>
          <w:b/>
          <w:bCs/>
          <w:color w:val="000000"/>
          <w:sz w:val="16"/>
          <w:szCs w:val="16"/>
        </w:rPr>
        <w:tab/>
      </w:r>
      <w:r>
        <w:rPr>
          <w:rFonts w:ascii="Arial" w:hAnsi="Arial" w:cs="Arial"/>
          <w:color w:val="000000"/>
          <w:sz w:val="16"/>
          <w:szCs w:val="16"/>
        </w:rPr>
        <w:t>Goods Group/Invoice Level</w:t>
      </w:r>
    </w:p>
    <w:p w14:paraId="22F9F1DB"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SEQ</w:t>
      </w:r>
      <w:r w:rsidR="00DD3332">
        <w:rPr>
          <w:rFonts w:ascii="Arial" w:hAnsi="Arial" w:cs="Arial"/>
          <w:b/>
          <w:bCs/>
          <w:color w:val="000000"/>
          <w:sz w:val="16"/>
          <w:szCs w:val="16"/>
        </w:rPr>
        <w:tab/>
      </w:r>
      <w:r>
        <w:rPr>
          <w:rFonts w:ascii="Arial" w:hAnsi="Arial" w:cs="Arial"/>
          <w:color w:val="000000"/>
          <w:sz w:val="16"/>
          <w:szCs w:val="16"/>
        </w:rPr>
        <w:t>Sequence details</w:t>
      </w:r>
    </w:p>
    <w:p w14:paraId="69C0164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RFF</w:t>
      </w:r>
      <w:r w:rsidR="00DD3332">
        <w:rPr>
          <w:rFonts w:ascii="Arial" w:hAnsi="Arial" w:cs="Arial"/>
          <w:b/>
          <w:bCs/>
          <w:color w:val="000000"/>
          <w:sz w:val="16"/>
          <w:szCs w:val="16"/>
        </w:rPr>
        <w:tab/>
      </w:r>
      <w:r>
        <w:rPr>
          <w:rFonts w:ascii="Arial" w:hAnsi="Arial" w:cs="Arial"/>
          <w:color w:val="000000"/>
          <w:sz w:val="16"/>
          <w:szCs w:val="16"/>
        </w:rPr>
        <w:t>Cargo Control Number</w:t>
      </w:r>
    </w:p>
    <w:p w14:paraId="09248D93"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SG48</w:t>
      </w:r>
      <w:r w:rsidR="00DD3332">
        <w:rPr>
          <w:rFonts w:ascii="Arial" w:hAnsi="Arial" w:cs="Arial"/>
          <w:b/>
          <w:bCs/>
          <w:color w:val="000000"/>
          <w:sz w:val="16"/>
          <w:szCs w:val="16"/>
        </w:rPr>
        <w:tab/>
      </w:r>
      <w:r>
        <w:rPr>
          <w:rFonts w:ascii="Arial" w:hAnsi="Arial" w:cs="Arial"/>
          <w:color w:val="000000"/>
          <w:sz w:val="16"/>
          <w:szCs w:val="16"/>
        </w:rPr>
        <w:t>Vendor/Invoice Parties</w:t>
      </w:r>
    </w:p>
    <w:p w14:paraId="5A57EEB5"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NAD</w:t>
      </w:r>
      <w:r w:rsidR="00DD3332">
        <w:rPr>
          <w:rFonts w:ascii="Arial" w:hAnsi="Arial" w:cs="Arial"/>
          <w:b/>
          <w:bCs/>
          <w:color w:val="000000"/>
          <w:sz w:val="16"/>
          <w:szCs w:val="16"/>
        </w:rPr>
        <w:tab/>
      </w:r>
      <w:r w:rsidR="00DD3332" w:rsidRPr="00DD3332">
        <w:rPr>
          <w:rFonts w:ascii="Arial" w:hAnsi="Arial" w:cs="Arial"/>
          <w:bCs/>
          <w:color w:val="000000"/>
          <w:sz w:val="16"/>
          <w:szCs w:val="16"/>
        </w:rPr>
        <w:t>N</w:t>
      </w:r>
      <w:r w:rsidRPr="00DD3332">
        <w:rPr>
          <w:rFonts w:ascii="Arial" w:hAnsi="Arial" w:cs="Arial"/>
          <w:color w:val="000000"/>
          <w:sz w:val="16"/>
          <w:szCs w:val="16"/>
        </w:rPr>
        <w:t>ame</w:t>
      </w:r>
      <w:r>
        <w:rPr>
          <w:rFonts w:ascii="Arial" w:hAnsi="Arial" w:cs="Arial"/>
          <w:color w:val="000000"/>
          <w:sz w:val="16"/>
          <w:szCs w:val="16"/>
        </w:rPr>
        <w:t xml:space="preserve"> and address</w:t>
      </w:r>
    </w:p>
    <w:p w14:paraId="7A6D7955"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SG49</w:t>
      </w:r>
      <w:r w:rsidR="00DD3332">
        <w:rPr>
          <w:rFonts w:ascii="Arial" w:hAnsi="Arial" w:cs="Arial"/>
          <w:b/>
          <w:bCs/>
          <w:color w:val="000000"/>
          <w:sz w:val="16"/>
          <w:szCs w:val="16"/>
        </w:rPr>
        <w:tab/>
      </w:r>
      <w:r>
        <w:rPr>
          <w:rFonts w:ascii="Arial" w:hAnsi="Arial" w:cs="Arial"/>
          <w:color w:val="000000"/>
          <w:sz w:val="16"/>
          <w:szCs w:val="16"/>
        </w:rPr>
        <w:t>Contact Information</w:t>
      </w:r>
    </w:p>
    <w:p w14:paraId="54D49B1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CTA</w:t>
      </w:r>
      <w:r w:rsidR="00DD3332">
        <w:rPr>
          <w:rFonts w:ascii="Arial" w:hAnsi="Arial" w:cs="Arial"/>
          <w:b/>
          <w:bCs/>
          <w:color w:val="000000"/>
          <w:sz w:val="16"/>
          <w:szCs w:val="16"/>
        </w:rPr>
        <w:tab/>
      </w:r>
      <w:r>
        <w:rPr>
          <w:rFonts w:ascii="Arial" w:hAnsi="Arial" w:cs="Arial"/>
          <w:color w:val="000000"/>
          <w:sz w:val="16"/>
          <w:szCs w:val="16"/>
        </w:rPr>
        <w:t>Contact Identification</w:t>
      </w:r>
    </w:p>
    <w:p w14:paraId="7B4E2900"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COM</w:t>
      </w:r>
      <w:r w:rsidR="00DD3332">
        <w:rPr>
          <w:rFonts w:ascii="Arial" w:hAnsi="Arial" w:cs="Arial"/>
          <w:b/>
          <w:bCs/>
          <w:color w:val="000000"/>
          <w:sz w:val="16"/>
          <w:szCs w:val="16"/>
        </w:rPr>
        <w:tab/>
      </w:r>
      <w:r>
        <w:rPr>
          <w:rFonts w:ascii="Arial" w:hAnsi="Arial" w:cs="Arial"/>
          <w:color w:val="000000"/>
          <w:sz w:val="16"/>
          <w:szCs w:val="16"/>
        </w:rPr>
        <w:t>Contact Method</w:t>
      </w:r>
    </w:p>
    <w:p w14:paraId="0087E3EF"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SG50</w:t>
      </w:r>
      <w:r w:rsidR="00DD3332">
        <w:rPr>
          <w:rFonts w:ascii="Arial" w:hAnsi="Arial" w:cs="Arial"/>
          <w:b/>
          <w:bCs/>
          <w:color w:val="000000"/>
          <w:sz w:val="16"/>
          <w:szCs w:val="16"/>
        </w:rPr>
        <w:tab/>
      </w:r>
      <w:r>
        <w:rPr>
          <w:rFonts w:ascii="Arial" w:hAnsi="Arial" w:cs="Arial"/>
          <w:color w:val="000000"/>
          <w:sz w:val="16"/>
          <w:szCs w:val="16"/>
        </w:rPr>
        <w:t>Country/Facility of Export/Direct Shipment</w:t>
      </w:r>
    </w:p>
    <w:p w14:paraId="783FEFE8"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LOC</w:t>
      </w:r>
      <w:r w:rsidR="00DD3332">
        <w:rPr>
          <w:rFonts w:ascii="Arial" w:hAnsi="Arial" w:cs="Arial"/>
          <w:b/>
          <w:bCs/>
          <w:color w:val="000000"/>
          <w:sz w:val="16"/>
          <w:szCs w:val="16"/>
        </w:rPr>
        <w:tab/>
      </w:r>
      <w:r>
        <w:rPr>
          <w:rFonts w:ascii="Arial" w:hAnsi="Arial" w:cs="Arial"/>
          <w:color w:val="000000"/>
          <w:sz w:val="16"/>
          <w:szCs w:val="16"/>
        </w:rPr>
        <w:t>Country of Export/Direct Shipment/Foreign Facility Details</w:t>
      </w:r>
    </w:p>
    <w:p w14:paraId="47E39E4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DTM</w:t>
      </w:r>
      <w:r w:rsidR="00DD3332">
        <w:rPr>
          <w:rFonts w:ascii="Arial" w:hAnsi="Arial" w:cs="Arial"/>
          <w:b/>
          <w:bCs/>
          <w:color w:val="000000"/>
          <w:sz w:val="16"/>
          <w:szCs w:val="16"/>
        </w:rPr>
        <w:tab/>
      </w:r>
      <w:r>
        <w:rPr>
          <w:rFonts w:ascii="Arial" w:hAnsi="Arial" w:cs="Arial"/>
          <w:color w:val="000000"/>
          <w:sz w:val="16"/>
          <w:szCs w:val="16"/>
        </w:rPr>
        <w:t>Date/time/period</w:t>
      </w:r>
    </w:p>
    <w:p w14:paraId="023CE17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SG51</w:t>
      </w:r>
      <w:r w:rsidR="00DD3332">
        <w:rPr>
          <w:rFonts w:ascii="Arial" w:hAnsi="Arial" w:cs="Arial"/>
          <w:b/>
          <w:bCs/>
          <w:color w:val="000000"/>
          <w:sz w:val="16"/>
          <w:szCs w:val="16"/>
        </w:rPr>
        <w:tab/>
      </w:r>
      <w:r>
        <w:rPr>
          <w:rFonts w:ascii="Arial" w:hAnsi="Arial" w:cs="Arial"/>
          <w:color w:val="000000"/>
          <w:sz w:val="16"/>
          <w:szCs w:val="16"/>
        </w:rPr>
        <w:t>P.O./Invoice Details</w:t>
      </w:r>
    </w:p>
    <w:p w14:paraId="74A3595D"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DOC</w:t>
      </w:r>
      <w:r w:rsidR="00DD3332">
        <w:rPr>
          <w:rFonts w:ascii="Arial" w:hAnsi="Arial" w:cs="Arial"/>
          <w:b/>
          <w:bCs/>
          <w:color w:val="000000"/>
          <w:sz w:val="16"/>
          <w:szCs w:val="16"/>
        </w:rPr>
        <w:tab/>
      </w:r>
      <w:r>
        <w:rPr>
          <w:rFonts w:ascii="Arial" w:hAnsi="Arial" w:cs="Arial"/>
          <w:color w:val="000000"/>
          <w:sz w:val="16"/>
          <w:szCs w:val="16"/>
        </w:rPr>
        <w:t>P.O./Invoice Identification</w:t>
      </w:r>
    </w:p>
    <w:p w14:paraId="39A846A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SEQ</w:t>
      </w:r>
      <w:r w:rsidR="00DD3332">
        <w:rPr>
          <w:rFonts w:ascii="Arial" w:hAnsi="Arial" w:cs="Arial"/>
          <w:b/>
          <w:bCs/>
          <w:color w:val="000000"/>
          <w:sz w:val="16"/>
          <w:szCs w:val="16"/>
        </w:rPr>
        <w:tab/>
      </w:r>
      <w:r>
        <w:rPr>
          <w:rFonts w:ascii="Arial" w:hAnsi="Arial" w:cs="Arial"/>
          <w:color w:val="000000"/>
          <w:sz w:val="16"/>
          <w:szCs w:val="16"/>
        </w:rPr>
        <w:t>Sequence details</w:t>
      </w:r>
    </w:p>
    <w:p w14:paraId="07AAC3B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DTM</w:t>
      </w:r>
      <w:r w:rsidR="00DD3332">
        <w:rPr>
          <w:rFonts w:ascii="Arial" w:hAnsi="Arial" w:cs="Arial"/>
          <w:b/>
          <w:bCs/>
          <w:color w:val="000000"/>
          <w:sz w:val="16"/>
          <w:szCs w:val="16"/>
        </w:rPr>
        <w:tab/>
      </w:r>
      <w:r>
        <w:rPr>
          <w:rFonts w:ascii="Arial" w:hAnsi="Arial" w:cs="Arial"/>
          <w:color w:val="000000"/>
          <w:sz w:val="16"/>
          <w:szCs w:val="16"/>
        </w:rPr>
        <w:t>Invoice Date of Issue</w:t>
      </w:r>
    </w:p>
    <w:p w14:paraId="3D241269"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MOA</w:t>
      </w:r>
      <w:r w:rsidR="00DD3332">
        <w:rPr>
          <w:rFonts w:ascii="Arial" w:hAnsi="Arial" w:cs="Arial"/>
          <w:b/>
          <w:bCs/>
          <w:color w:val="000000"/>
          <w:sz w:val="16"/>
          <w:szCs w:val="16"/>
        </w:rPr>
        <w:tab/>
      </w:r>
      <w:r>
        <w:rPr>
          <w:rFonts w:ascii="Arial" w:hAnsi="Arial" w:cs="Arial"/>
          <w:color w:val="000000"/>
          <w:sz w:val="16"/>
          <w:szCs w:val="16"/>
        </w:rPr>
        <w:t>Invoice Total Amount</w:t>
      </w:r>
    </w:p>
    <w:p w14:paraId="2BE31D70"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SG68</w:t>
      </w:r>
      <w:r w:rsidR="00DD3332">
        <w:rPr>
          <w:rFonts w:ascii="Arial" w:hAnsi="Arial" w:cs="Arial"/>
          <w:b/>
          <w:bCs/>
          <w:color w:val="000000"/>
          <w:sz w:val="16"/>
          <w:szCs w:val="16"/>
        </w:rPr>
        <w:tab/>
      </w:r>
      <w:r>
        <w:rPr>
          <w:rFonts w:ascii="Arial" w:hAnsi="Arial" w:cs="Arial"/>
          <w:color w:val="000000"/>
          <w:sz w:val="16"/>
          <w:szCs w:val="16"/>
        </w:rPr>
        <w:t>Invoice Total Weight/Volume and Quantity</w:t>
      </w:r>
    </w:p>
    <w:p w14:paraId="42ED1C9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MEA</w:t>
      </w:r>
      <w:r w:rsidR="00DD3332">
        <w:rPr>
          <w:rFonts w:ascii="Arial" w:hAnsi="Arial" w:cs="Arial"/>
          <w:b/>
          <w:bCs/>
          <w:color w:val="000000"/>
          <w:sz w:val="16"/>
          <w:szCs w:val="16"/>
        </w:rPr>
        <w:tab/>
      </w:r>
      <w:r>
        <w:rPr>
          <w:rFonts w:ascii="Arial" w:hAnsi="Arial" w:cs="Arial"/>
          <w:color w:val="000000"/>
          <w:sz w:val="16"/>
          <w:szCs w:val="16"/>
        </w:rPr>
        <w:t>Measurements</w:t>
      </w:r>
    </w:p>
    <w:p w14:paraId="1D6FA57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QTY</w:t>
      </w:r>
      <w:r w:rsidR="00DD3332">
        <w:rPr>
          <w:rFonts w:ascii="Arial" w:hAnsi="Arial" w:cs="Arial"/>
          <w:b/>
          <w:bCs/>
          <w:color w:val="000000"/>
          <w:sz w:val="16"/>
          <w:szCs w:val="16"/>
        </w:rPr>
        <w:tab/>
      </w:r>
      <w:r>
        <w:rPr>
          <w:rFonts w:ascii="Arial" w:hAnsi="Arial" w:cs="Arial"/>
          <w:color w:val="000000"/>
          <w:sz w:val="16"/>
          <w:szCs w:val="16"/>
        </w:rPr>
        <w:t>Invoice Quantity</w:t>
      </w:r>
    </w:p>
    <w:p w14:paraId="5F2B14A0"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SG101</w:t>
      </w:r>
      <w:r w:rsidR="00DD3332">
        <w:rPr>
          <w:rFonts w:ascii="Arial" w:hAnsi="Arial" w:cs="Arial"/>
          <w:b/>
          <w:bCs/>
          <w:color w:val="000000"/>
          <w:sz w:val="16"/>
          <w:szCs w:val="16"/>
        </w:rPr>
        <w:tab/>
      </w:r>
      <w:r>
        <w:rPr>
          <w:rFonts w:ascii="Arial" w:hAnsi="Arial" w:cs="Arial"/>
          <w:color w:val="000000"/>
          <w:sz w:val="16"/>
          <w:szCs w:val="16"/>
        </w:rPr>
        <w:t>Government Agency Goods Item Details (GAGI)</w:t>
      </w:r>
    </w:p>
    <w:p w14:paraId="12C334E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LIN</w:t>
      </w:r>
      <w:r w:rsidR="00DD3332">
        <w:rPr>
          <w:rFonts w:ascii="Arial" w:hAnsi="Arial" w:cs="Arial"/>
          <w:b/>
          <w:bCs/>
          <w:color w:val="000000"/>
          <w:sz w:val="16"/>
          <w:szCs w:val="16"/>
        </w:rPr>
        <w:tab/>
      </w:r>
      <w:r>
        <w:rPr>
          <w:rFonts w:ascii="Arial" w:hAnsi="Arial" w:cs="Arial"/>
          <w:color w:val="000000"/>
          <w:sz w:val="16"/>
          <w:szCs w:val="16"/>
        </w:rPr>
        <w:t>Line item</w:t>
      </w:r>
    </w:p>
    <w:p w14:paraId="65D0BE7B"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SG102</w:t>
      </w:r>
      <w:r w:rsidR="00DD3332">
        <w:rPr>
          <w:rFonts w:ascii="Arial" w:hAnsi="Arial" w:cs="Arial"/>
          <w:b/>
          <w:bCs/>
          <w:color w:val="000000"/>
          <w:sz w:val="16"/>
          <w:szCs w:val="16"/>
        </w:rPr>
        <w:tab/>
      </w:r>
      <w:r>
        <w:rPr>
          <w:rFonts w:ascii="Arial" w:hAnsi="Arial" w:cs="Arial"/>
          <w:color w:val="000000"/>
          <w:sz w:val="16"/>
          <w:szCs w:val="16"/>
        </w:rPr>
        <w:t>Manufacturer</w:t>
      </w:r>
    </w:p>
    <w:p w14:paraId="1428629B"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NAD</w:t>
      </w:r>
      <w:r w:rsidR="00DD3332">
        <w:rPr>
          <w:rFonts w:ascii="Arial" w:hAnsi="Arial" w:cs="Arial"/>
          <w:b/>
          <w:bCs/>
          <w:color w:val="000000"/>
          <w:sz w:val="16"/>
          <w:szCs w:val="16"/>
        </w:rPr>
        <w:tab/>
      </w:r>
      <w:r>
        <w:rPr>
          <w:rFonts w:ascii="Arial" w:hAnsi="Arial" w:cs="Arial"/>
          <w:color w:val="000000"/>
          <w:sz w:val="16"/>
          <w:szCs w:val="16"/>
        </w:rPr>
        <w:t>Name and address</w:t>
      </w:r>
    </w:p>
    <w:p w14:paraId="6C5B99B1"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SG103</w:t>
      </w:r>
      <w:r w:rsidR="00DD3332">
        <w:rPr>
          <w:rFonts w:ascii="Arial" w:hAnsi="Arial" w:cs="Arial"/>
          <w:b/>
          <w:bCs/>
          <w:color w:val="000000"/>
          <w:sz w:val="16"/>
          <w:szCs w:val="16"/>
        </w:rPr>
        <w:tab/>
      </w:r>
      <w:r>
        <w:rPr>
          <w:rFonts w:ascii="Arial" w:hAnsi="Arial" w:cs="Arial"/>
          <w:color w:val="000000"/>
          <w:sz w:val="16"/>
          <w:szCs w:val="16"/>
        </w:rPr>
        <w:t>Contact Information</w:t>
      </w:r>
    </w:p>
    <w:p w14:paraId="1123FCC9"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CTA</w:t>
      </w:r>
      <w:r w:rsidR="00DD3332">
        <w:rPr>
          <w:rFonts w:ascii="Arial" w:hAnsi="Arial" w:cs="Arial"/>
          <w:b/>
          <w:bCs/>
          <w:color w:val="000000"/>
          <w:sz w:val="16"/>
          <w:szCs w:val="16"/>
        </w:rPr>
        <w:tab/>
      </w:r>
      <w:r>
        <w:rPr>
          <w:rFonts w:ascii="Arial" w:hAnsi="Arial" w:cs="Arial"/>
          <w:color w:val="000000"/>
          <w:sz w:val="16"/>
          <w:szCs w:val="16"/>
        </w:rPr>
        <w:t>Contact Identification</w:t>
      </w:r>
    </w:p>
    <w:p w14:paraId="2CA56AA3"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COM</w:t>
      </w:r>
      <w:r w:rsidR="00DD3332">
        <w:rPr>
          <w:rFonts w:ascii="Arial" w:hAnsi="Arial" w:cs="Arial"/>
          <w:b/>
          <w:bCs/>
          <w:color w:val="000000"/>
          <w:sz w:val="16"/>
          <w:szCs w:val="16"/>
        </w:rPr>
        <w:tab/>
      </w:r>
      <w:r>
        <w:rPr>
          <w:rFonts w:ascii="Arial" w:hAnsi="Arial" w:cs="Arial"/>
          <w:color w:val="000000"/>
          <w:sz w:val="16"/>
          <w:szCs w:val="16"/>
        </w:rPr>
        <w:t>Contact Method</w:t>
      </w:r>
    </w:p>
    <w:p w14:paraId="60F8AADB"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SG104</w:t>
      </w:r>
      <w:r w:rsidR="00DD3332">
        <w:rPr>
          <w:rFonts w:ascii="Arial" w:hAnsi="Arial" w:cs="Arial"/>
          <w:b/>
          <w:bCs/>
          <w:color w:val="000000"/>
          <w:sz w:val="16"/>
          <w:szCs w:val="16"/>
        </w:rPr>
        <w:tab/>
      </w:r>
      <w:r>
        <w:rPr>
          <w:rFonts w:ascii="Arial" w:hAnsi="Arial" w:cs="Arial"/>
          <w:color w:val="000000"/>
          <w:sz w:val="16"/>
          <w:szCs w:val="16"/>
        </w:rPr>
        <w:t>Country of Origin</w:t>
      </w:r>
    </w:p>
    <w:p w14:paraId="3EBF83E0"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LOC</w:t>
      </w:r>
      <w:r w:rsidR="00DD3332">
        <w:rPr>
          <w:rFonts w:ascii="Arial" w:hAnsi="Arial" w:cs="Arial"/>
          <w:b/>
          <w:bCs/>
          <w:color w:val="000000"/>
          <w:sz w:val="16"/>
          <w:szCs w:val="16"/>
        </w:rPr>
        <w:tab/>
      </w:r>
      <w:r>
        <w:rPr>
          <w:rFonts w:ascii="Arial" w:hAnsi="Arial" w:cs="Arial"/>
          <w:color w:val="000000"/>
          <w:sz w:val="16"/>
          <w:szCs w:val="16"/>
        </w:rPr>
        <w:t>Country of Origin</w:t>
      </w:r>
    </w:p>
    <w:p w14:paraId="54330CE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SG115</w:t>
      </w:r>
      <w:r w:rsidR="00DD3332">
        <w:rPr>
          <w:rFonts w:ascii="Arial" w:hAnsi="Arial" w:cs="Arial"/>
          <w:b/>
          <w:bCs/>
          <w:color w:val="000000"/>
          <w:sz w:val="16"/>
          <w:szCs w:val="16"/>
        </w:rPr>
        <w:tab/>
      </w:r>
      <w:r>
        <w:rPr>
          <w:rFonts w:ascii="Arial" w:hAnsi="Arial" w:cs="Arial"/>
          <w:color w:val="000000"/>
          <w:sz w:val="16"/>
          <w:szCs w:val="16"/>
        </w:rPr>
        <w:t>Invoice Level Packaging Quantity and Type</w:t>
      </w:r>
    </w:p>
    <w:p w14:paraId="4583D729"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PAC</w:t>
      </w:r>
      <w:r w:rsidR="00B510D9">
        <w:rPr>
          <w:rFonts w:ascii="Arial" w:hAnsi="Arial" w:cs="Arial"/>
          <w:b/>
          <w:bCs/>
          <w:color w:val="000000"/>
          <w:sz w:val="16"/>
          <w:szCs w:val="16"/>
        </w:rPr>
        <w:tab/>
      </w:r>
      <w:r>
        <w:rPr>
          <w:rFonts w:ascii="Arial" w:hAnsi="Arial" w:cs="Arial"/>
          <w:color w:val="000000"/>
          <w:sz w:val="16"/>
          <w:szCs w:val="16"/>
        </w:rPr>
        <w:t>Shipping Package Type and Quantity</w:t>
      </w:r>
    </w:p>
    <w:p w14:paraId="6DE20B6B"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SEQ</w:t>
      </w:r>
      <w:r w:rsidR="00B510D9">
        <w:rPr>
          <w:rFonts w:ascii="Arial" w:hAnsi="Arial" w:cs="Arial"/>
          <w:b/>
          <w:bCs/>
          <w:color w:val="000000"/>
          <w:sz w:val="16"/>
          <w:szCs w:val="16"/>
        </w:rPr>
        <w:tab/>
      </w:r>
      <w:r>
        <w:rPr>
          <w:rFonts w:ascii="Arial" w:hAnsi="Arial" w:cs="Arial"/>
          <w:color w:val="000000"/>
          <w:sz w:val="16"/>
          <w:szCs w:val="16"/>
        </w:rPr>
        <w:t>Sequence details</w:t>
      </w:r>
    </w:p>
    <w:p w14:paraId="13DD0BAC"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PCI</w:t>
      </w:r>
      <w:r w:rsidR="00B510D9">
        <w:rPr>
          <w:rFonts w:ascii="Arial" w:hAnsi="Arial" w:cs="Arial"/>
          <w:b/>
          <w:bCs/>
          <w:color w:val="000000"/>
          <w:sz w:val="16"/>
          <w:szCs w:val="16"/>
        </w:rPr>
        <w:tab/>
      </w:r>
      <w:r>
        <w:rPr>
          <w:rFonts w:ascii="Arial" w:hAnsi="Arial" w:cs="Arial"/>
          <w:color w:val="000000"/>
          <w:sz w:val="16"/>
          <w:szCs w:val="16"/>
        </w:rPr>
        <w:t>Package identification</w:t>
      </w:r>
    </w:p>
    <w:p w14:paraId="22158C72"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SG117</w:t>
      </w:r>
      <w:r w:rsidR="00B510D9">
        <w:rPr>
          <w:rFonts w:ascii="Arial" w:hAnsi="Arial" w:cs="Arial"/>
          <w:b/>
          <w:bCs/>
          <w:color w:val="000000"/>
          <w:sz w:val="16"/>
          <w:szCs w:val="16"/>
        </w:rPr>
        <w:tab/>
      </w:r>
      <w:r>
        <w:rPr>
          <w:rFonts w:ascii="Arial" w:hAnsi="Arial" w:cs="Arial"/>
          <w:color w:val="000000"/>
          <w:sz w:val="16"/>
          <w:szCs w:val="16"/>
        </w:rPr>
        <w:t>Commodity Details</w:t>
      </w:r>
    </w:p>
    <w:p w14:paraId="2FB9A56A"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GID</w:t>
      </w:r>
      <w:r w:rsidR="00B510D9">
        <w:rPr>
          <w:rFonts w:ascii="Arial" w:hAnsi="Arial" w:cs="Arial"/>
          <w:b/>
          <w:bCs/>
          <w:color w:val="000000"/>
          <w:sz w:val="16"/>
          <w:szCs w:val="16"/>
        </w:rPr>
        <w:tab/>
      </w:r>
      <w:r>
        <w:rPr>
          <w:rFonts w:ascii="Arial" w:hAnsi="Arial" w:cs="Arial"/>
          <w:color w:val="000000"/>
          <w:sz w:val="16"/>
          <w:szCs w:val="16"/>
        </w:rPr>
        <w:t>Goods item details</w:t>
      </w:r>
    </w:p>
    <w:p w14:paraId="000BAF99"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IMD</w:t>
      </w:r>
      <w:r w:rsidR="00B510D9">
        <w:rPr>
          <w:rFonts w:ascii="Arial" w:hAnsi="Arial" w:cs="Arial"/>
          <w:b/>
          <w:bCs/>
          <w:color w:val="000000"/>
          <w:sz w:val="16"/>
          <w:szCs w:val="16"/>
        </w:rPr>
        <w:tab/>
      </w:r>
      <w:r>
        <w:rPr>
          <w:rFonts w:ascii="Arial" w:hAnsi="Arial" w:cs="Arial"/>
          <w:color w:val="000000"/>
          <w:sz w:val="16"/>
          <w:szCs w:val="16"/>
        </w:rPr>
        <w:t>Item description</w:t>
      </w:r>
    </w:p>
    <w:p w14:paraId="5B5C3D1F"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APP</w:t>
      </w:r>
      <w:r w:rsidR="00B510D9">
        <w:rPr>
          <w:rFonts w:ascii="Arial" w:hAnsi="Arial" w:cs="Arial"/>
          <w:b/>
          <w:bCs/>
          <w:color w:val="000000"/>
          <w:sz w:val="16"/>
          <w:szCs w:val="16"/>
        </w:rPr>
        <w:tab/>
      </w:r>
      <w:r>
        <w:rPr>
          <w:rFonts w:ascii="Arial" w:hAnsi="Arial" w:cs="Arial"/>
          <w:color w:val="000000"/>
          <w:sz w:val="16"/>
          <w:szCs w:val="16"/>
        </w:rPr>
        <w:t>Intended End-Use</w:t>
      </w:r>
    </w:p>
    <w:p w14:paraId="7CA1C578"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RFF</w:t>
      </w:r>
      <w:r w:rsidR="00B510D9">
        <w:rPr>
          <w:rFonts w:ascii="Arial" w:hAnsi="Arial" w:cs="Arial"/>
          <w:b/>
          <w:bCs/>
          <w:color w:val="000000"/>
          <w:sz w:val="16"/>
          <w:szCs w:val="16"/>
        </w:rPr>
        <w:tab/>
      </w:r>
      <w:r>
        <w:rPr>
          <w:rFonts w:ascii="Arial" w:hAnsi="Arial" w:cs="Arial"/>
          <w:color w:val="000000"/>
          <w:sz w:val="16"/>
          <w:szCs w:val="16"/>
        </w:rPr>
        <w:t>Lot Number/Meter Reading</w:t>
      </w:r>
    </w:p>
    <w:p w14:paraId="65219A0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DTM</w:t>
      </w:r>
      <w:r w:rsidR="00B510D9">
        <w:rPr>
          <w:rFonts w:ascii="Arial" w:hAnsi="Arial" w:cs="Arial"/>
          <w:b/>
          <w:bCs/>
          <w:color w:val="000000"/>
          <w:sz w:val="16"/>
          <w:szCs w:val="16"/>
        </w:rPr>
        <w:tab/>
      </w:r>
      <w:r>
        <w:rPr>
          <w:rFonts w:ascii="Arial" w:hAnsi="Arial" w:cs="Arial"/>
          <w:color w:val="000000"/>
          <w:sz w:val="16"/>
          <w:szCs w:val="16"/>
        </w:rPr>
        <w:t>Production/Expiry Date</w:t>
      </w:r>
    </w:p>
    <w:p w14:paraId="552008E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GIR</w:t>
      </w:r>
      <w:r w:rsidR="00B510D9">
        <w:rPr>
          <w:rFonts w:ascii="Arial" w:hAnsi="Arial" w:cs="Arial"/>
          <w:b/>
          <w:bCs/>
          <w:color w:val="000000"/>
          <w:sz w:val="16"/>
          <w:szCs w:val="16"/>
        </w:rPr>
        <w:tab/>
      </w:r>
      <w:r>
        <w:rPr>
          <w:rFonts w:ascii="Arial" w:hAnsi="Arial" w:cs="Arial"/>
          <w:color w:val="000000"/>
          <w:sz w:val="16"/>
          <w:szCs w:val="16"/>
        </w:rPr>
        <w:t>Commodity Identity Codes</w:t>
      </w:r>
    </w:p>
    <w:p w14:paraId="4901EBB1"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GIN</w:t>
      </w:r>
      <w:r w:rsidR="00B510D9">
        <w:rPr>
          <w:rFonts w:ascii="Arial" w:hAnsi="Arial" w:cs="Arial"/>
          <w:b/>
          <w:bCs/>
          <w:color w:val="000000"/>
          <w:sz w:val="16"/>
          <w:szCs w:val="16"/>
        </w:rPr>
        <w:tab/>
      </w:r>
      <w:r>
        <w:rPr>
          <w:rFonts w:ascii="Arial" w:hAnsi="Arial" w:cs="Arial"/>
          <w:color w:val="000000"/>
          <w:sz w:val="16"/>
          <w:szCs w:val="16"/>
        </w:rPr>
        <w:t>Commodity Identifier Codes</w:t>
      </w:r>
    </w:p>
    <w:p w14:paraId="69BBCF79"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MEA</w:t>
      </w:r>
      <w:r w:rsidR="00B510D9">
        <w:rPr>
          <w:rFonts w:ascii="Arial" w:hAnsi="Arial" w:cs="Arial"/>
          <w:b/>
          <w:bCs/>
          <w:color w:val="000000"/>
          <w:sz w:val="16"/>
          <w:szCs w:val="16"/>
        </w:rPr>
        <w:tab/>
      </w:r>
      <w:r>
        <w:rPr>
          <w:rFonts w:ascii="Arial" w:hAnsi="Arial" w:cs="Arial"/>
          <w:color w:val="000000"/>
          <w:sz w:val="16"/>
          <w:szCs w:val="16"/>
        </w:rPr>
        <w:t>Commodity Size</w:t>
      </w:r>
    </w:p>
    <w:p w14:paraId="65133D8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MOA</w:t>
      </w:r>
      <w:r w:rsidR="00B510D9">
        <w:rPr>
          <w:rFonts w:ascii="Arial" w:hAnsi="Arial" w:cs="Arial"/>
          <w:b/>
          <w:bCs/>
          <w:color w:val="000000"/>
          <w:sz w:val="16"/>
          <w:szCs w:val="16"/>
        </w:rPr>
        <w:tab/>
      </w:r>
      <w:r>
        <w:rPr>
          <w:rFonts w:ascii="Arial" w:hAnsi="Arial" w:cs="Arial"/>
          <w:color w:val="000000"/>
          <w:sz w:val="16"/>
          <w:szCs w:val="16"/>
        </w:rPr>
        <w:t>Commodity Pricing</w:t>
      </w:r>
    </w:p>
    <w:p w14:paraId="2E2D604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PGI</w:t>
      </w:r>
      <w:r w:rsidR="00B510D9">
        <w:rPr>
          <w:rFonts w:ascii="Arial" w:hAnsi="Arial" w:cs="Arial"/>
          <w:b/>
          <w:bCs/>
          <w:color w:val="000000"/>
          <w:sz w:val="16"/>
          <w:szCs w:val="16"/>
        </w:rPr>
        <w:tab/>
      </w:r>
      <w:r>
        <w:rPr>
          <w:rFonts w:ascii="Arial" w:hAnsi="Arial" w:cs="Arial"/>
          <w:color w:val="000000"/>
          <w:sz w:val="16"/>
          <w:szCs w:val="16"/>
        </w:rPr>
        <w:t>Canadian Product Category</w:t>
      </w:r>
    </w:p>
    <w:p w14:paraId="1DD46382"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TCC</w:t>
      </w:r>
      <w:r w:rsidR="00B510D9">
        <w:rPr>
          <w:rFonts w:ascii="Arial" w:hAnsi="Arial" w:cs="Arial"/>
          <w:b/>
          <w:bCs/>
          <w:color w:val="000000"/>
          <w:sz w:val="16"/>
          <w:szCs w:val="16"/>
        </w:rPr>
        <w:tab/>
      </w:r>
      <w:r>
        <w:rPr>
          <w:rFonts w:ascii="Arial" w:hAnsi="Arial" w:cs="Arial"/>
          <w:color w:val="000000"/>
          <w:sz w:val="16"/>
          <w:szCs w:val="16"/>
        </w:rPr>
        <w:t>Commodity Classification Codes</w:t>
      </w:r>
    </w:p>
    <w:p w14:paraId="77FA3D87"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CNT</w:t>
      </w:r>
      <w:r w:rsidR="00B510D9">
        <w:rPr>
          <w:rFonts w:ascii="Arial" w:hAnsi="Arial" w:cs="Arial"/>
          <w:b/>
          <w:bCs/>
          <w:color w:val="000000"/>
          <w:sz w:val="16"/>
          <w:szCs w:val="16"/>
        </w:rPr>
        <w:tab/>
      </w:r>
      <w:r>
        <w:rPr>
          <w:rFonts w:ascii="Arial" w:hAnsi="Arial" w:cs="Arial"/>
          <w:color w:val="000000"/>
          <w:sz w:val="16"/>
          <w:szCs w:val="16"/>
        </w:rPr>
        <w:t>Commodity Unit Count</w:t>
      </w:r>
    </w:p>
    <w:p w14:paraId="561752F0"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SG118</w:t>
      </w:r>
      <w:r w:rsidR="00B510D9">
        <w:rPr>
          <w:rFonts w:ascii="Arial" w:hAnsi="Arial" w:cs="Arial"/>
          <w:b/>
          <w:bCs/>
          <w:color w:val="000000"/>
          <w:sz w:val="16"/>
          <w:szCs w:val="16"/>
        </w:rPr>
        <w:tab/>
      </w:r>
      <w:r>
        <w:rPr>
          <w:rFonts w:ascii="Arial" w:hAnsi="Arial" w:cs="Arial"/>
          <w:color w:val="000000"/>
          <w:sz w:val="16"/>
          <w:szCs w:val="16"/>
        </w:rPr>
        <w:t>Commodity Country of Origin</w:t>
      </w:r>
    </w:p>
    <w:p w14:paraId="57D5946F"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LOC</w:t>
      </w:r>
      <w:r w:rsidR="00B510D9">
        <w:rPr>
          <w:rFonts w:ascii="Arial" w:hAnsi="Arial" w:cs="Arial"/>
          <w:b/>
          <w:bCs/>
          <w:color w:val="000000"/>
          <w:sz w:val="16"/>
          <w:szCs w:val="16"/>
        </w:rPr>
        <w:tab/>
      </w:r>
      <w:r>
        <w:rPr>
          <w:rFonts w:ascii="Arial" w:hAnsi="Arial" w:cs="Arial"/>
          <w:color w:val="000000"/>
          <w:sz w:val="16"/>
          <w:szCs w:val="16"/>
        </w:rPr>
        <w:t>Commodity Country of Origin</w:t>
      </w:r>
    </w:p>
    <w:p w14:paraId="37AC3899"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SEQ</w:t>
      </w:r>
      <w:r w:rsidR="00B510D9">
        <w:rPr>
          <w:rFonts w:ascii="Arial" w:hAnsi="Arial" w:cs="Arial"/>
          <w:b/>
          <w:bCs/>
          <w:color w:val="000000"/>
          <w:sz w:val="16"/>
          <w:szCs w:val="16"/>
        </w:rPr>
        <w:tab/>
      </w:r>
      <w:r>
        <w:rPr>
          <w:rFonts w:ascii="Arial" w:hAnsi="Arial" w:cs="Arial"/>
          <w:color w:val="000000"/>
          <w:sz w:val="16"/>
          <w:szCs w:val="16"/>
        </w:rPr>
        <w:t>Sequence details</w:t>
      </w:r>
    </w:p>
    <w:p w14:paraId="650409FD"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SG119</w:t>
      </w:r>
      <w:r w:rsidR="00B510D9">
        <w:rPr>
          <w:rFonts w:ascii="Arial" w:hAnsi="Arial" w:cs="Arial"/>
          <w:b/>
          <w:bCs/>
          <w:color w:val="000000"/>
          <w:sz w:val="16"/>
          <w:szCs w:val="16"/>
        </w:rPr>
        <w:tab/>
      </w:r>
      <w:r>
        <w:rPr>
          <w:rFonts w:ascii="Arial" w:hAnsi="Arial" w:cs="Arial"/>
          <w:color w:val="000000"/>
          <w:sz w:val="16"/>
          <w:szCs w:val="16"/>
        </w:rPr>
        <w:t>Manufacturer / Commodity Party</w:t>
      </w:r>
    </w:p>
    <w:p w14:paraId="670028E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NAD</w:t>
      </w:r>
      <w:r w:rsidR="00B510D9">
        <w:rPr>
          <w:rFonts w:ascii="Arial" w:hAnsi="Arial" w:cs="Arial"/>
          <w:b/>
          <w:bCs/>
          <w:color w:val="000000"/>
          <w:sz w:val="16"/>
          <w:szCs w:val="16"/>
        </w:rPr>
        <w:tab/>
      </w:r>
      <w:r>
        <w:rPr>
          <w:rFonts w:ascii="Arial" w:hAnsi="Arial" w:cs="Arial"/>
          <w:color w:val="000000"/>
          <w:sz w:val="16"/>
          <w:szCs w:val="16"/>
        </w:rPr>
        <w:t>Name and address</w:t>
      </w:r>
    </w:p>
    <w:p w14:paraId="0C2DA7F2"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SG120</w:t>
      </w:r>
      <w:r w:rsidR="00B510D9">
        <w:rPr>
          <w:rFonts w:ascii="Arial" w:hAnsi="Arial" w:cs="Arial"/>
          <w:b/>
          <w:bCs/>
          <w:color w:val="000000"/>
          <w:sz w:val="16"/>
          <w:szCs w:val="16"/>
        </w:rPr>
        <w:tab/>
      </w:r>
      <w:r>
        <w:rPr>
          <w:rFonts w:ascii="Arial" w:hAnsi="Arial" w:cs="Arial"/>
          <w:color w:val="000000"/>
          <w:sz w:val="16"/>
          <w:szCs w:val="16"/>
        </w:rPr>
        <w:t>Contact Information</w:t>
      </w:r>
    </w:p>
    <w:p w14:paraId="4E909EB8"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CTA</w:t>
      </w:r>
      <w:r w:rsidR="00B510D9">
        <w:rPr>
          <w:rFonts w:ascii="Arial" w:hAnsi="Arial" w:cs="Arial"/>
          <w:b/>
          <w:bCs/>
          <w:color w:val="000000"/>
          <w:sz w:val="16"/>
          <w:szCs w:val="16"/>
        </w:rPr>
        <w:tab/>
      </w:r>
      <w:r>
        <w:rPr>
          <w:rFonts w:ascii="Arial" w:hAnsi="Arial" w:cs="Arial"/>
          <w:color w:val="000000"/>
          <w:sz w:val="16"/>
          <w:szCs w:val="16"/>
        </w:rPr>
        <w:t>Contact Identification</w:t>
      </w:r>
    </w:p>
    <w:p w14:paraId="1D25CE57"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COM</w:t>
      </w:r>
      <w:r w:rsidR="00B510D9">
        <w:rPr>
          <w:rFonts w:ascii="Arial" w:hAnsi="Arial" w:cs="Arial"/>
          <w:b/>
          <w:bCs/>
          <w:color w:val="000000"/>
          <w:sz w:val="16"/>
          <w:szCs w:val="16"/>
        </w:rPr>
        <w:tab/>
      </w:r>
      <w:r>
        <w:rPr>
          <w:rFonts w:ascii="Arial" w:hAnsi="Arial" w:cs="Arial"/>
          <w:color w:val="000000"/>
          <w:sz w:val="16"/>
          <w:szCs w:val="16"/>
        </w:rPr>
        <w:t>Contact Method</w:t>
      </w:r>
    </w:p>
    <w:p w14:paraId="4E699CBF"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SG121</w:t>
      </w:r>
      <w:r w:rsidR="00B510D9">
        <w:rPr>
          <w:rFonts w:ascii="Arial" w:hAnsi="Arial" w:cs="Arial"/>
          <w:b/>
          <w:bCs/>
          <w:color w:val="000000"/>
          <w:sz w:val="16"/>
          <w:szCs w:val="16"/>
        </w:rPr>
        <w:tab/>
      </w:r>
      <w:r>
        <w:rPr>
          <w:rFonts w:ascii="Arial" w:hAnsi="Arial" w:cs="Arial"/>
          <w:color w:val="000000"/>
          <w:sz w:val="16"/>
          <w:szCs w:val="16"/>
        </w:rPr>
        <w:t>License/Permit/Certificate/Other Documents</w:t>
      </w:r>
    </w:p>
    <w:p w14:paraId="44AF2D9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DOC</w:t>
      </w:r>
      <w:r w:rsidR="00B510D9">
        <w:rPr>
          <w:rFonts w:ascii="Arial" w:hAnsi="Arial" w:cs="Arial"/>
          <w:b/>
          <w:bCs/>
          <w:color w:val="000000"/>
          <w:sz w:val="16"/>
          <w:szCs w:val="16"/>
        </w:rPr>
        <w:tab/>
      </w:r>
      <w:r>
        <w:rPr>
          <w:rFonts w:ascii="Arial" w:hAnsi="Arial" w:cs="Arial"/>
          <w:color w:val="000000"/>
          <w:sz w:val="16"/>
          <w:szCs w:val="16"/>
        </w:rPr>
        <w:t>Document Identification Details</w:t>
      </w:r>
    </w:p>
    <w:p w14:paraId="0F75E543"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RFF</w:t>
      </w:r>
      <w:r w:rsidR="00B510D9">
        <w:rPr>
          <w:rFonts w:ascii="Arial" w:hAnsi="Arial" w:cs="Arial"/>
          <w:b/>
          <w:bCs/>
          <w:color w:val="000000"/>
          <w:sz w:val="16"/>
          <w:szCs w:val="16"/>
        </w:rPr>
        <w:tab/>
      </w:r>
      <w:r>
        <w:rPr>
          <w:rFonts w:ascii="Arial" w:hAnsi="Arial" w:cs="Arial"/>
          <w:color w:val="000000"/>
          <w:sz w:val="16"/>
          <w:szCs w:val="16"/>
        </w:rPr>
        <w:t>Secondary Reference Information</w:t>
      </w:r>
    </w:p>
    <w:p w14:paraId="38E8ED2B"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DTM</w:t>
      </w:r>
      <w:r w:rsidR="00B510D9">
        <w:rPr>
          <w:rFonts w:ascii="Arial" w:hAnsi="Arial" w:cs="Arial"/>
          <w:b/>
          <w:bCs/>
          <w:color w:val="000000"/>
          <w:sz w:val="16"/>
          <w:szCs w:val="16"/>
        </w:rPr>
        <w:tab/>
      </w:r>
      <w:r>
        <w:rPr>
          <w:rFonts w:ascii="Arial" w:hAnsi="Arial" w:cs="Arial"/>
          <w:color w:val="000000"/>
          <w:sz w:val="16"/>
          <w:szCs w:val="16"/>
        </w:rPr>
        <w:t>LPCO Issue/Effective/Expiry Date</w:t>
      </w:r>
    </w:p>
    <w:p w14:paraId="5ADF5C71"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QTY</w:t>
      </w:r>
      <w:r w:rsidR="00B510D9">
        <w:rPr>
          <w:rFonts w:ascii="Arial" w:hAnsi="Arial" w:cs="Arial"/>
          <w:b/>
          <w:bCs/>
          <w:color w:val="000000"/>
          <w:sz w:val="16"/>
          <w:szCs w:val="16"/>
        </w:rPr>
        <w:tab/>
      </w:r>
      <w:r>
        <w:rPr>
          <w:rFonts w:ascii="Arial" w:hAnsi="Arial" w:cs="Arial"/>
          <w:color w:val="000000"/>
          <w:sz w:val="16"/>
          <w:szCs w:val="16"/>
        </w:rPr>
        <w:t>Documented Alternative Quota Quantity</w:t>
      </w:r>
    </w:p>
    <w:p w14:paraId="45EA4260"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SG122</w:t>
      </w:r>
      <w:r w:rsidR="00B510D9">
        <w:rPr>
          <w:rFonts w:ascii="Arial" w:hAnsi="Arial" w:cs="Arial"/>
          <w:b/>
          <w:bCs/>
          <w:color w:val="000000"/>
          <w:sz w:val="16"/>
          <w:szCs w:val="16"/>
        </w:rPr>
        <w:tab/>
      </w:r>
      <w:r>
        <w:rPr>
          <w:rFonts w:ascii="Arial" w:hAnsi="Arial" w:cs="Arial"/>
          <w:color w:val="000000"/>
          <w:sz w:val="16"/>
          <w:szCs w:val="16"/>
        </w:rPr>
        <w:t>LPCO Parties</w:t>
      </w:r>
    </w:p>
    <w:p w14:paraId="47014939" w14:textId="77777777" w:rsidR="00B510D9"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NAD</w:t>
      </w:r>
      <w:r w:rsidR="00B510D9">
        <w:rPr>
          <w:rFonts w:ascii="Arial" w:hAnsi="Arial" w:cs="Arial"/>
          <w:b/>
          <w:bCs/>
          <w:color w:val="000000"/>
          <w:sz w:val="16"/>
          <w:szCs w:val="16"/>
        </w:rPr>
        <w:tab/>
      </w:r>
      <w:r>
        <w:rPr>
          <w:rFonts w:ascii="Arial" w:hAnsi="Arial" w:cs="Arial"/>
          <w:color w:val="000000"/>
          <w:sz w:val="16"/>
          <w:szCs w:val="16"/>
        </w:rPr>
        <w:t>Name and address</w:t>
      </w:r>
    </w:p>
    <w:p w14:paraId="1762DC36"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SG123</w:t>
      </w:r>
      <w:r w:rsidR="00B510D9">
        <w:rPr>
          <w:rFonts w:ascii="Arial" w:hAnsi="Arial" w:cs="Arial"/>
          <w:b/>
          <w:bCs/>
          <w:color w:val="000000"/>
          <w:sz w:val="16"/>
          <w:szCs w:val="16"/>
        </w:rPr>
        <w:tab/>
      </w:r>
      <w:r>
        <w:rPr>
          <w:rFonts w:ascii="Arial" w:hAnsi="Arial" w:cs="Arial"/>
          <w:color w:val="000000"/>
          <w:sz w:val="16"/>
          <w:szCs w:val="16"/>
        </w:rPr>
        <w:t>Contact Information</w:t>
      </w:r>
    </w:p>
    <w:p w14:paraId="46A6C88D"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CTA</w:t>
      </w:r>
      <w:r w:rsidR="00B510D9">
        <w:rPr>
          <w:rFonts w:ascii="Arial" w:hAnsi="Arial" w:cs="Arial"/>
          <w:b/>
          <w:bCs/>
          <w:color w:val="000000"/>
          <w:sz w:val="16"/>
          <w:szCs w:val="16"/>
        </w:rPr>
        <w:tab/>
      </w:r>
      <w:r>
        <w:rPr>
          <w:rFonts w:ascii="Arial" w:hAnsi="Arial" w:cs="Arial"/>
          <w:color w:val="000000"/>
          <w:sz w:val="16"/>
          <w:szCs w:val="16"/>
        </w:rPr>
        <w:t>Contact Identification</w:t>
      </w:r>
    </w:p>
    <w:p w14:paraId="0768A743"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COM</w:t>
      </w:r>
      <w:r w:rsidR="00B510D9">
        <w:rPr>
          <w:rFonts w:ascii="Arial" w:hAnsi="Arial" w:cs="Arial"/>
          <w:b/>
          <w:bCs/>
          <w:color w:val="000000"/>
          <w:sz w:val="16"/>
          <w:szCs w:val="16"/>
        </w:rPr>
        <w:tab/>
      </w:r>
      <w:r>
        <w:rPr>
          <w:rFonts w:ascii="Arial" w:hAnsi="Arial" w:cs="Arial"/>
          <w:color w:val="000000"/>
          <w:sz w:val="16"/>
          <w:szCs w:val="16"/>
        </w:rPr>
        <w:t>Contact Method</w:t>
      </w:r>
    </w:p>
    <w:p w14:paraId="54E5673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SG124</w:t>
      </w:r>
      <w:r w:rsidR="00B510D9">
        <w:rPr>
          <w:rFonts w:ascii="Arial" w:hAnsi="Arial" w:cs="Arial"/>
          <w:b/>
          <w:bCs/>
          <w:color w:val="000000"/>
          <w:sz w:val="16"/>
          <w:szCs w:val="16"/>
        </w:rPr>
        <w:tab/>
      </w:r>
      <w:r>
        <w:rPr>
          <w:rFonts w:ascii="Arial" w:hAnsi="Arial" w:cs="Arial"/>
          <w:color w:val="000000"/>
          <w:sz w:val="16"/>
          <w:szCs w:val="16"/>
        </w:rPr>
        <w:t>LPCO Issuing/Place of Authentication Location</w:t>
      </w:r>
    </w:p>
    <w:p w14:paraId="7FB68E4F"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LOC</w:t>
      </w:r>
      <w:r w:rsidR="00B510D9">
        <w:rPr>
          <w:rFonts w:ascii="Arial" w:hAnsi="Arial" w:cs="Arial"/>
          <w:b/>
          <w:bCs/>
          <w:color w:val="000000"/>
          <w:sz w:val="16"/>
          <w:szCs w:val="16"/>
        </w:rPr>
        <w:tab/>
      </w:r>
      <w:r>
        <w:rPr>
          <w:rFonts w:ascii="Arial" w:hAnsi="Arial" w:cs="Arial"/>
          <w:color w:val="000000"/>
          <w:sz w:val="16"/>
          <w:szCs w:val="16"/>
        </w:rPr>
        <w:t>Place/location identification</w:t>
      </w:r>
    </w:p>
    <w:p w14:paraId="197E7645"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SG125</w:t>
      </w:r>
      <w:r w:rsidR="00B510D9">
        <w:rPr>
          <w:rFonts w:ascii="Arial" w:hAnsi="Arial" w:cs="Arial"/>
          <w:b/>
          <w:bCs/>
          <w:color w:val="000000"/>
          <w:sz w:val="16"/>
          <w:szCs w:val="16"/>
        </w:rPr>
        <w:tab/>
      </w:r>
      <w:r>
        <w:rPr>
          <w:rFonts w:ascii="Arial" w:hAnsi="Arial" w:cs="Arial"/>
          <w:color w:val="000000"/>
          <w:sz w:val="16"/>
          <w:szCs w:val="16"/>
        </w:rPr>
        <w:t>Compliance Statements</w:t>
      </w:r>
    </w:p>
    <w:p w14:paraId="238BFB6D"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RCS</w:t>
      </w:r>
      <w:r w:rsidR="00B510D9">
        <w:rPr>
          <w:rFonts w:ascii="Arial" w:hAnsi="Arial" w:cs="Arial"/>
          <w:b/>
          <w:bCs/>
          <w:color w:val="000000"/>
          <w:sz w:val="16"/>
          <w:szCs w:val="16"/>
        </w:rPr>
        <w:tab/>
      </w:r>
      <w:r>
        <w:rPr>
          <w:rFonts w:ascii="Arial" w:hAnsi="Arial" w:cs="Arial"/>
          <w:color w:val="000000"/>
          <w:sz w:val="16"/>
          <w:szCs w:val="16"/>
        </w:rPr>
        <w:t>Requirements and conditions</w:t>
      </w:r>
    </w:p>
    <w:p w14:paraId="4C394D9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SG127</w:t>
      </w:r>
      <w:r w:rsidR="00B510D9">
        <w:rPr>
          <w:rFonts w:ascii="Arial" w:hAnsi="Arial" w:cs="Arial"/>
          <w:b/>
          <w:bCs/>
          <w:color w:val="000000"/>
          <w:sz w:val="16"/>
          <w:szCs w:val="16"/>
        </w:rPr>
        <w:tab/>
      </w:r>
      <w:r>
        <w:rPr>
          <w:rFonts w:ascii="Arial" w:hAnsi="Arial" w:cs="Arial"/>
          <w:color w:val="000000"/>
          <w:sz w:val="16"/>
          <w:szCs w:val="16"/>
        </w:rPr>
        <w:t>Retail Level Packaging Quantity and Type</w:t>
      </w:r>
    </w:p>
    <w:p w14:paraId="4D61FD75"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PAC</w:t>
      </w:r>
      <w:r w:rsidR="00B510D9">
        <w:rPr>
          <w:rFonts w:ascii="Arial" w:hAnsi="Arial" w:cs="Arial"/>
          <w:b/>
          <w:bCs/>
          <w:color w:val="000000"/>
          <w:sz w:val="16"/>
          <w:szCs w:val="16"/>
        </w:rPr>
        <w:tab/>
      </w:r>
      <w:r>
        <w:rPr>
          <w:rFonts w:ascii="Arial" w:hAnsi="Arial" w:cs="Arial"/>
          <w:color w:val="000000"/>
          <w:sz w:val="16"/>
          <w:szCs w:val="16"/>
        </w:rPr>
        <w:t>Retail Package Type and Quantity</w:t>
      </w:r>
    </w:p>
    <w:p w14:paraId="4345516A"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FTX</w:t>
      </w:r>
      <w:r w:rsidR="00B510D9">
        <w:rPr>
          <w:rFonts w:ascii="Arial" w:hAnsi="Arial" w:cs="Arial"/>
          <w:b/>
          <w:bCs/>
          <w:color w:val="000000"/>
          <w:sz w:val="16"/>
          <w:szCs w:val="16"/>
        </w:rPr>
        <w:tab/>
      </w:r>
      <w:r>
        <w:rPr>
          <w:rFonts w:ascii="Arial" w:hAnsi="Arial" w:cs="Arial"/>
          <w:color w:val="000000"/>
          <w:sz w:val="16"/>
          <w:szCs w:val="16"/>
        </w:rPr>
        <w:t>Retails Marking Information</w:t>
      </w:r>
    </w:p>
    <w:p w14:paraId="5551162A"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SG128</w:t>
      </w:r>
      <w:r w:rsidR="00B510D9">
        <w:rPr>
          <w:rFonts w:ascii="Arial" w:hAnsi="Arial" w:cs="Arial"/>
          <w:b/>
          <w:bCs/>
          <w:color w:val="000000"/>
          <w:sz w:val="16"/>
          <w:szCs w:val="16"/>
        </w:rPr>
        <w:tab/>
      </w:r>
      <w:r>
        <w:rPr>
          <w:rFonts w:ascii="Arial" w:hAnsi="Arial" w:cs="Arial"/>
          <w:color w:val="000000"/>
          <w:sz w:val="16"/>
          <w:szCs w:val="16"/>
        </w:rPr>
        <w:t>Component/Ingredient Details</w:t>
      </w:r>
    </w:p>
    <w:p w14:paraId="22CC2E1D"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COD</w:t>
      </w:r>
      <w:r w:rsidR="00B510D9">
        <w:rPr>
          <w:rFonts w:ascii="Arial" w:hAnsi="Arial" w:cs="Arial"/>
          <w:b/>
          <w:bCs/>
          <w:color w:val="000000"/>
          <w:sz w:val="16"/>
          <w:szCs w:val="16"/>
        </w:rPr>
        <w:tab/>
      </w:r>
      <w:r>
        <w:rPr>
          <w:rFonts w:ascii="Arial" w:hAnsi="Arial" w:cs="Arial"/>
          <w:color w:val="000000"/>
          <w:sz w:val="16"/>
          <w:szCs w:val="16"/>
        </w:rPr>
        <w:t>Ingredient</w:t>
      </w:r>
    </w:p>
    <w:p w14:paraId="0E11D4BF"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QTY</w:t>
      </w:r>
      <w:r w:rsidR="00B510D9">
        <w:rPr>
          <w:rFonts w:ascii="Arial" w:hAnsi="Arial" w:cs="Arial"/>
          <w:b/>
          <w:bCs/>
          <w:color w:val="000000"/>
          <w:sz w:val="16"/>
          <w:szCs w:val="16"/>
        </w:rPr>
        <w:tab/>
      </w:r>
      <w:r>
        <w:rPr>
          <w:rFonts w:ascii="Arial" w:hAnsi="Arial" w:cs="Arial"/>
          <w:color w:val="000000"/>
          <w:sz w:val="16"/>
          <w:szCs w:val="16"/>
        </w:rPr>
        <w:t>Ingredient Quantity</w:t>
      </w:r>
    </w:p>
    <w:p w14:paraId="5D1B5E6E"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PCD</w:t>
      </w:r>
      <w:r w:rsidR="00B510D9">
        <w:rPr>
          <w:rFonts w:ascii="Arial" w:hAnsi="Arial" w:cs="Arial"/>
          <w:b/>
          <w:bCs/>
          <w:color w:val="000000"/>
          <w:sz w:val="16"/>
          <w:szCs w:val="16"/>
        </w:rPr>
        <w:tab/>
      </w:r>
      <w:r>
        <w:rPr>
          <w:rFonts w:ascii="Arial" w:hAnsi="Arial" w:cs="Arial"/>
          <w:color w:val="000000"/>
          <w:sz w:val="16"/>
          <w:szCs w:val="16"/>
        </w:rPr>
        <w:t>Ingredient Concentration</w:t>
      </w:r>
    </w:p>
    <w:p w14:paraId="7E0280E4"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SG140</w:t>
      </w:r>
      <w:r w:rsidR="00B510D9">
        <w:rPr>
          <w:rFonts w:ascii="Arial" w:hAnsi="Arial" w:cs="Arial"/>
          <w:b/>
          <w:bCs/>
          <w:color w:val="000000"/>
          <w:sz w:val="16"/>
          <w:szCs w:val="16"/>
        </w:rPr>
        <w:tab/>
      </w:r>
      <w:r>
        <w:rPr>
          <w:rFonts w:ascii="Arial" w:hAnsi="Arial" w:cs="Arial"/>
          <w:color w:val="000000"/>
          <w:sz w:val="16"/>
          <w:szCs w:val="16"/>
        </w:rPr>
        <w:t>Commodity Temperature</w:t>
      </w:r>
    </w:p>
    <w:p w14:paraId="4117B05A"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TMP</w:t>
      </w:r>
      <w:r w:rsidR="00B510D9">
        <w:rPr>
          <w:rFonts w:ascii="Arial" w:hAnsi="Arial" w:cs="Arial"/>
          <w:b/>
          <w:bCs/>
          <w:color w:val="000000"/>
          <w:sz w:val="16"/>
          <w:szCs w:val="16"/>
        </w:rPr>
        <w:tab/>
      </w:r>
      <w:r>
        <w:rPr>
          <w:rFonts w:ascii="Arial" w:hAnsi="Arial" w:cs="Arial"/>
          <w:color w:val="000000"/>
          <w:sz w:val="16"/>
          <w:szCs w:val="16"/>
        </w:rPr>
        <w:t>Temperature</w:t>
      </w:r>
    </w:p>
    <w:p w14:paraId="44D53A8C"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SG142</w:t>
      </w:r>
      <w:r w:rsidR="00B510D9">
        <w:rPr>
          <w:rFonts w:ascii="Arial" w:hAnsi="Arial" w:cs="Arial"/>
          <w:b/>
          <w:bCs/>
          <w:color w:val="000000"/>
          <w:sz w:val="16"/>
          <w:szCs w:val="16"/>
        </w:rPr>
        <w:tab/>
      </w:r>
      <w:r>
        <w:rPr>
          <w:rFonts w:ascii="Arial" w:hAnsi="Arial" w:cs="Arial"/>
          <w:color w:val="000000"/>
          <w:sz w:val="16"/>
          <w:szCs w:val="16"/>
        </w:rPr>
        <w:t>Commodity Process Type</w:t>
      </w:r>
    </w:p>
    <w:p w14:paraId="4333DC22"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PRC</w:t>
      </w:r>
      <w:r w:rsidR="00B510D9">
        <w:rPr>
          <w:rFonts w:ascii="Arial" w:hAnsi="Arial" w:cs="Arial"/>
          <w:b/>
          <w:bCs/>
          <w:color w:val="000000"/>
          <w:sz w:val="16"/>
          <w:szCs w:val="16"/>
        </w:rPr>
        <w:tab/>
      </w:r>
      <w:r>
        <w:rPr>
          <w:rFonts w:ascii="Arial" w:hAnsi="Arial" w:cs="Arial"/>
          <w:color w:val="000000"/>
          <w:sz w:val="16"/>
          <w:szCs w:val="16"/>
        </w:rPr>
        <w:t>Process identification</w:t>
      </w:r>
    </w:p>
    <w:p w14:paraId="3790E4EF"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SEQ</w:t>
      </w:r>
      <w:r w:rsidR="00B510D9">
        <w:rPr>
          <w:rFonts w:ascii="Arial" w:hAnsi="Arial" w:cs="Arial"/>
          <w:b/>
          <w:bCs/>
          <w:color w:val="000000"/>
          <w:sz w:val="16"/>
          <w:szCs w:val="16"/>
        </w:rPr>
        <w:tab/>
      </w:r>
      <w:r>
        <w:rPr>
          <w:rFonts w:ascii="Arial" w:hAnsi="Arial" w:cs="Arial"/>
          <w:color w:val="000000"/>
          <w:sz w:val="16"/>
          <w:szCs w:val="16"/>
        </w:rPr>
        <w:t>Sequence details</w:t>
      </w:r>
    </w:p>
    <w:p w14:paraId="4CAB83D5"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DTM</w:t>
      </w:r>
      <w:r w:rsidR="00B510D9">
        <w:rPr>
          <w:rFonts w:ascii="Arial" w:hAnsi="Arial" w:cs="Arial"/>
          <w:b/>
          <w:bCs/>
          <w:color w:val="000000"/>
          <w:sz w:val="16"/>
          <w:szCs w:val="16"/>
        </w:rPr>
        <w:tab/>
      </w:r>
      <w:r>
        <w:rPr>
          <w:rFonts w:ascii="Arial" w:hAnsi="Arial" w:cs="Arial"/>
          <w:color w:val="000000"/>
          <w:sz w:val="16"/>
          <w:szCs w:val="16"/>
        </w:rPr>
        <w:t>Process Timing Details</w:t>
      </w:r>
    </w:p>
    <w:p w14:paraId="6AED6881"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SG143</w:t>
      </w:r>
      <w:r w:rsidR="00B510D9">
        <w:rPr>
          <w:rFonts w:ascii="Arial" w:hAnsi="Arial" w:cs="Arial"/>
          <w:b/>
          <w:bCs/>
          <w:color w:val="000000"/>
          <w:sz w:val="16"/>
          <w:szCs w:val="16"/>
        </w:rPr>
        <w:tab/>
      </w:r>
      <w:r>
        <w:rPr>
          <w:rFonts w:ascii="Arial" w:hAnsi="Arial" w:cs="Arial"/>
          <w:color w:val="000000"/>
          <w:sz w:val="16"/>
          <w:szCs w:val="16"/>
        </w:rPr>
        <w:t>Processor</w:t>
      </w:r>
    </w:p>
    <w:p w14:paraId="30CF0CCF"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NAD</w:t>
      </w:r>
      <w:r w:rsidR="00B510D9">
        <w:rPr>
          <w:rFonts w:ascii="Arial" w:hAnsi="Arial" w:cs="Arial"/>
          <w:b/>
          <w:bCs/>
          <w:color w:val="000000"/>
          <w:sz w:val="16"/>
          <w:szCs w:val="16"/>
        </w:rPr>
        <w:tab/>
      </w:r>
      <w:r>
        <w:rPr>
          <w:rFonts w:ascii="Arial" w:hAnsi="Arial" w:cs="Arial"/>
          <w:color w:val="000000"/>
          <w:sz w:val="16"/>
          <w:szCs w:val="16"/>
        </w:rPr>
        <w:t>Name and address</w:t>
      </w:r>
    </w:p>
    <w:p w14:paraId="122B2310"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SG144</w:t>
      </w:r>
      <w:r w:rsidR="00B510D9">
        <w:rPr>
          <w:rFonts w:ascii="Arial" w:hAnsi="Arial" w:cs="Arial"/>
          <w:b/>
          <w:bCs/>
          <w:color w:val="000000"/>
          <w:sz w:val="16"/>
          <w:szCs w:val="16"/>
        </w:rPr>
        <w:tab/>
      </w:r>
      <w:r>
        <w:rPr>
          <w:rFonts w:ascii="Arial" w:hAnsi="Arial" w:cs="Arial"/>
          <w:color w:val="000000"/>
          <w:sz w:val="16"/>
          <w:szCs w:val="16"/>
        </w:rPr>
        <w:t>Contact Information</w:t>
      </w:r>
    </w:p>
    <w:p w14:paraId="1BECE9B1"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CTA</w:t>
      </w:r>
      <w:r w:rsidR="00B510D9">
        <w:rPr>
          <w:rFonts w:ascii="Arial" w:hAnsi="Arial" w:cs="Arial"/>
          <w:b/>
          <w:bCs/>
          <w:color w:val="000000"/>
          <w:sz w:val="16"/>
          <w:szCs w:val="16"/>
        </w:rPr>
        <w:tab/>
      </w:r>
      <w:r>
        <w:rPr>
          <w:rFonts w:ascii="Arial" w:hAnsi="Arial" w:cs="Arial"/>
          <w:color w:val="000000"/>
          <w:sz w:val="16"/>
          <w:szCs w:val="16"/>
        </w:rPr>
        <w:t>Contact Identification</w:t>
      </w:r>
    </w:p>
    <w:p w14:paraId="6ACDECB6"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COM</w:t>
      </w:r>
      <w:r w:rsidR="00B510D9">
        <w:rPr>
          <w:rFonts w:ascii="Arial" w:hAnsi="Arial" w:cs="Arial"/>
          <w:b/>
          <w:bCs/>
          <w:color w:val="000000"/>
          <w:sz w:val="16"/>
          <w:szCs w:val="16"/>
        </w:rPr>
        <w:tab/>
      </w:r>
      <w:r>
        <w:rPr>
          <w:rFonts w:ascii="Arial" w:hAnsi="Arial" w:cs="Arial"/>
          <w:color w:val="000000"/>
          <w:sz w:val="16"/>
          <w:szCs w:val="16"/>
        </w:rPr>
        <w:t>Contact Method</w:t>
      </w:r>
    </w:p>
    <w:p w14:paraId="78FEF1E8"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HYN</w:t>
      </w:r>
      <w:r w:rsidR="00B510D9">
        <w:rPr>
          <w:rFonts w:ascii="Arial" w:hAnsi="Arial" w:cs="Arial"/>
          <w:b/>
          <w:bCs/>
          <w:color w:val="000000"/>
          <w:sz w:val="16"/>
          <w:szCs w:val="16"/>
        </w:rPr>
        <w:tab/>
      </w:r>
      <w:r>
        <w:rPr>
          <w:rFonts w:ascii="Arial" w:hAnsi="Arial" w:cs="Arial"/>
          <w:color w:val="000000"/>
          <w:sz w:val="16"/>
          <w:szCs w:val="16"/>
        </w:rPr>
        <w:t>Hierarchy information</w:t>
      </w:r>
    </w:p>
    <w:p w14:paraId="679351C8"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UNS</w:t>
      </w:r>
      <w:r w:rsidR="00B510D9">
        <w:rPr>
          <w:rFonts w:ascii="Arial" w:hAnsi="Arial" w:cs="Arial"/>
          <w:b/>
          <w:bCs/>
          <w:color w:val="000000"/>
          <w:sz w:val="16"/>
          <w:szCs w:val="16"/>
        </w:rPr>
        <w:tab/>
      </w:r>
      <w:r>
        <w:rPr>
          <w:rFonts w:ascii="Arial" w:hAnsi="Arial" w:cs="Arial"/>
          <w:color w:val="000000"/>
          <w:sz w:val="16"/>
          <w:szCs w:val="16"/>
        </w:rPr>
        <w:t>Section control</w:t>
      </w:r>
    </w:p>
    <w:p w14:paraId="19B55347" w14:textId="77777777" w:rsidR="00CA11C2" w:rsidRDefault="00CA11C2" w:rsidP="00CA11C2">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UNT</w:t>
      </w:r>
      <w:r w:rsidR="00B510D9">
        <w:rPr>
          <w:rFonts w:ascii="Arial" w:hAnsi="Arial" w:cs="Arial"/>
          <w:b/>
          <w:bCs/>
          <w:color w:val="000000"/>
          <w:sz w:val="16"/>
          <w:szCs w:val="16"/>
        </w:rPr>
        <w:tab/>
      </w:r>
      <w:r>
        <w:rPr>
          <w:rFonts w:ascii="Arial" w:hAnsi="Arial" w:cs="Arial"/>
          <w:color w:val="000000"/>
          <w:sz w:val="16"/>
          <w:szCs w:val="16"/>
        </w:rPr>
        <w:t>Message trailer</w:t>
      </w:r>
    </w:p>
    <w:p w14:paraId="5C489AAA" w14:textId="77777777" w:rsidR="00B510D9" w:rsidRDefault="00CA11C2" w:rsidP="00B510D9">
      <w:pPr>
        <w:autoSpaceDE w:val="0"/>
        <w:autoSpaceDN w:val="0"/>
        <w:adjustRightInd w:val="0"/>
        <w:spacing w:before="0" w:after="0" w:line="240" w:lineRule="auto"/>
        <w:rPr>
          <w:rFonts w:ascii="Arial" w:hAnsi="Arial" w:cs="Arial"/>
          <w:color w:val="000000"/>
          <w:sz w:val="16"/>
          <w:szCs w:val="16"/>
        </w:rPr>
      </w:pPr>
      <w:r>
        <w:rPr>
          <w:rFonts w:ascii="Arial" w:hAnsi="Arial" w:cs="Arial"/>
          <w:b/>
          <w:bCs/>
          <w:color w:val="000000"/>
          <w:sz w:val="16"/>
          <w:szCs w:val="16"/>
        </w:rPr>
        <w:t>UNE</w:t>
      </w:r>
      <w:r w:rsidR="00B510D9">
        <w:rPr>
          <w:rFonts w:ascii="Arial" w:hAnsi="Arial" w:cs="Arial"/>
          <w:b/>
          <w:bCs/>
          <w:color w:val="000000"/>
          <w:sz w:val="16"/>
          <w:szCs w:val="16"/>
        </w:rPr>
        <w:tab/>
      </w:r>
      <w:r>
        <w:rPr>
          <w:rFonts w:ascii="Arial" w:hAnsi="Arial" w:cs="Arial"/>
          <w:color w:val="000000"/>
          <w:sz w:val="16"/>
          <w:szCs w:val="16"/>
        </w:rPr>
        <w:t>Functional group trailer</w:t>
      </w:r>
    </w:p>
    <w:p w14:paraId="68625DB9" w14:textId="77777777" w:rsidR="00CA11C2" w:rsidRPr="00CA11C2" w:rsidRDefault="00CA11C2" w:rsidP="00B510D9">
      <w:pPr>
        <w:autoSpaceDE w:val="0"/>
        <w:autoSpaceDN w:val="0"/>
        <w:adjustRightInd w:val="0"/>
        <w:spacing w:before="0" w:after="0" w:line="240" w:lineRule="auto"/>
      </w:pPr>
      <w:r>
        <w:rPr>
          <w:rFonts w:ascii="Arial" w:hAnsi="Arial" w:cs="Arial"/>
          <w:b/>
          <w:bCs/>
          <w:color w:val="000000"/>
          <w:sz w:val="16"/>
          <w:szCs w:val="16"/>
        </w:rPr>
        <w:t>UNZ</w:t>
      </w:r>
      <w:r w:rsidR="00B510D9">
        <w:rPr>
          <w:rFonts w:ascii="Arial" w:hAnsi="Arial" w:cs="Arial"/>
          <w:b/>
          <w:bCs/>
          <w:color w:val="000000"/>
          <w:sz w:val="16"/>
          <w:szCs w:val="16"/>
        </w:rPr>
        <w:tab/>
      </w:r>
      <w:r>
        <w:rPr>
          <w:rFonts w:ascii="Arial" w:hAnsi="Arial" w:cs="Arial"/>
          <w:color w:val="000000"/>
          <w:sz w:val="16"/>
          <w:szCs w:val="16"/>
        </w:rPr>
        <w:t>Interchange trailer</w:t>
      </w:r>
    </w:p>
    <w:p w14:paraId="20B2669D" w14:textId="77777777" w:rsidR="00021B5C" w:rsidRDefault="00021B5C" w:rsidP="00C8206D">
      <w:pPr>
        <w:sectPr w:rsidR="00021B5C" w:rsidSect="00021B5C">
          <w:type w:val="continuous"/>
          <w:pgSz w:w="12240" w:h="15840"/>
          <w:pgMar w:top="720" w:right="720" w:bottom="720" w:left="720" w:header="720" w:footer="720" w:gutter="0"/>
          <w:cols w:num="2" w:space="720"/>
          <w:docGrid w:linePitch="360"/>
        </w:sectPr>
      </w:pPr>
    </w:p>
    <w:p w14:paraId="771757CB" w14:textId="77777777" w:rsidR="00CB1BFA" w:rsidRDefault="00CB1BFA" w:rsidP="0042210A">
      <w:pPr>
        <w:pStyle w:val="NoSpacing"/>
      </w:pPr>
    </w:p>
    <w:p w14:paraId="559000E1" w14:textId="3D6F8595" w:rsidR="002412EC" w:rsidRDefault="002412EC" w:rsidP="002412EC">
      <w:pPr>
        <w:pStyle w:val="NoSpacing"/>
      </w:pPr>
    </w:p>
    <w:sectPr w:rsidR="002412EC" w:rsidSect="00021B5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D4F1"/>
      </v:shape>
    </w:pict>
  </w:numPicBullet>
  <w:abstractNum w:abstractNumId="0" w15:restartNumberingAfterBreak="0">
    <w:nsid w:val="03B433BD"/>
    <w:multiLevelType w:val="hybridMultilevel"/>
    <w:tmpl w:val="5D560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C402B4"/>
    <w:multiLevelType w:val="hybridMultilevel"/>
    <w:tmpl w:val="DB5C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032CC9"/>
    <w:multiLevelType w:val="hybridMultilevel"/>
    <w:tmpl w:val="C11CFBF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BE31783"/>
    <w:multiLevelType w:val="hybridMultilevel"/>
    <w:tmpl w:val="5FD4ABE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BFA"/>
    <w:rsid w:val="00021B5C"/>
    <w:rsid w:val="00036406"/>
    <w:rsid w:val="00042950"/>
    <w:rsid w:val="000D31EA"/>
    <w:rsid w:val="00182AE4"/>
    <w:rsid w:val="00217DC7"/>
    <w:rsid w:val="002412EC"/>
    <w:rsid w:val="00325A0A"/>
    <w:rsid w:val="00347FD6"/>
    <w:rsid w:val="00355A40"/>
    <w:rsid w:val="0042210A"/>
    <w:rsid w:val="0044479F"/>
    <w:rsid w:val="004F597B"/>
    <w:rsid w:val="006765F4"/>
    <w:rsid w:val="006831CD"/>
    <w:rsid w:val="006F6D45"/>
    <w:rsid w:val="0075548E"/>
    <w:rsid w:val="0079187E"/>
    <w:rsid w:val="007A0B08"/>
    <w:rsid w:val="007A3BEC"/>
    <w:rsid w:val="0081725E"/>
    <w:rsid w:val="008E0F6E"/>
    <w:rsid w:val="008F2A27"/>
    <w:rsid w:val="009432D0"/>
    <w:rsid w:val="009E3BFB"/>
    <w:rsid w:val="00A16101"/>
    <w:rsid w:val="00B510D9"/>
    <w:rsid w:val="00B717F6"/>
    <w:rsid w:val="00B82768"/>
    <w:rsid w:val="00B948E6"/>
    <w:rsid w:val="00BD5F16"/>
    <w:rsid w:val="00C177D0"/>
    <w:rsid w:val="00C8206D"/>
    <w:rsid w:val="00C9679E"/>
    <w:rsid w:val="00CA11C2"/>
    <w:rsid w:val="00CB1BFA"/>
    <w:rsid w:val="00DB0CC7"/>
    <w:rsid w:val="00DD3332"/>
    <w:rsid w:val="00DD5762"/>
    <w:rsid w:val="00DF492D"/>
    <w:rsid w:val="00E46989"/>
    <w:rsid w:val="00E53162"/>
    <w:rsid w:val="00E80612"/>
    <w:rsid w:val="00E8780D"/>
    <w:rsid w:val="00EE12C8"/>
    <w:rsid w:val="00F0699E"/>
    <w:rsid w:val="00F15995"/>
    <w:rsid w:val="00FE3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BD695B"/>
  <w15:chartTrackingRefBased/>
  <w15:docId w15:val="{30437452-F1BA-46E3-AA05-C6A6A5EF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0F6E"/>
  </w:style>
  <w:style w:type="paragraph" w:styleId="Heading1">
    <w:name w:val="heading 1"/>
    <w:basedOn w:val="Normal"/>
    <w:next w:val="Normal"/>
    <w:link w:val="Heading1Char"/>
    <w:uiPriority w:val="9"/>
    <w:qFormat/>
    <w:rsid w:val="008E0F6E"/>
    <w:pPr>
      <w:pBdr>
        <w:top w:val="single" w:sz="24" w:space="0" w:color="B71E42" w:themeColor="accent1"/>
        <w:left w:val="single" w:sz="24" w:space="0" w:color="B71E42" w:themeColor="accent1"/>
        <w:bottom w:val="single" w:sz="24" w:space="0" w:color="B71E42" w:themeColor="accent1"/>
        <w:right w:val="single" w:sz="24" w:space="0" w:color="B71E42" w:themeColor="accent1"/>
      </w:pBdr>
      <w:shd w:val="clear" w:color="auto" w:fill="B71E4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E0F6E"/>
    <w:pPr>
      <w:pBdr>
        <w:top w:val="single" w:sz="24" w:space="0" w:color="F6CBD5" w:themeColor="accent1" w:themeTint="33"/>
        <w:left w:val="single" w:sz="24" w:space="0" w:color="F6CBD5" w:themeColor="accent1" w:themeTint="33"/>
        <w:bottom w:val="single" w:sz="24" w:space="0" w:color="F6CBD5" w:themeColor="accent1" w:themeTint="33"/>
        <w:right w:val="single" w:sz="24" w:space="0" w:color="F6CBD5" w:themeColor="accent1" w:themeTint="33"/>
      </w:pBdr>
      <w:shd w:val="clear" w:color="auto" w:fill="F6CBD5"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E0F6E"/>
    <w:pPr>
      <w:pBdr>
        <w:top w:val="single" w:sz="6" w:space="2" w:color="B71E42" w:themeColor="accent1"/>
      </w:pBdr>
      <w:spacing w:before="300" w:after="0"/>
      <w:outlineLvl w:val="2"/>
    </w:pPr>
    <w:rPr>
      <w:caps/>
      <w:color w:val="5B0F20" w:themeColor="accent1" w:themeShade="7F"/>
      <w:spacing w:val="15"/>
    </w:rPr>
  </w:style>
  <w:style w:type="paragraph" w:styleId="Heading4">
    <w:name w:val="heading 4"/>
    <w:basedOn w:val="Normal"/>
    <w:next w:val="Normal"/>
    <w:link w:val="Heading4Char"/>
    <w:uiPriority w:val="9"/>
    <w:semiHidden/>
    <w:unhideWhenUsed/>
    <w:qFormat/>
    <w:rsid w:val="008E0F6E"/>
    <w:pPr>
      <w:pBdr>
        <w:top w:val="dotted" w:sz="6" w:space="2" w:color="B71E42" w:themeColor="accent1"/>
      </w:pBdr>
      <w:spacing w:before="200" w:after="0"/>
      <w:outlineLvl w:val="3"/>
    </w:pPr>
    <w:rPr>
      <w:caps/>
      <w:color w:val="881631" w:themeColor="accent1" w:themeShade="BF"/>
      <w:spacing w:val="10"/>
    </w:rPr>
  </w:style>
  <w:style w:type="paragraph" w:styleId="Heading5">
    <w:name w:val="heading 5"/>
    <w:basedOn w:val="Normal"/>
    <w:next w:val="Normal"/>
    <w:link w:val="Heading5Char"/>
    <w:uiPriority w:val="9"/>
    <w:semiHidden/>
    <w:unhideWhenUsed/>
    <w:qFormat/>
    <w:rsid w:val="008E0F6E"/>
    <w:pPr>
      <w:pBdr>
        <w:bottom w:val="single" w:sz="6" w:space="1" w:color="B71E42" w:themeColor="accent1"/>
      </w:pBdr>
      <w:spacing w:before="200" w:after="0"/>
      <w:outlineLvl w:val="4"/>
    </w:pPr>
    <w:rPr>
      <w:caps/>
      <w:color w:val="881631" w:themeColor="accent1" w:themeShade="BF"/>
      <w:spacing w:val="10"/>
    </w:rPr>
  </w:style>
  <w:style w:type="paragraph" w:styleId="Heading6">
    <w:name w:val="heading 6"/>
    <w:basedOn w:val="Normal"/>
    <w:next w:val="Normal"/>
    <w:link w:val="Heading6Char"/>
    <w:uiPriority w:val="9"/>
    <w:semiHidden/>
    <w:unhideWhenUsed/>
    <w:qFormat/>
    <w:rsid w:val="008E0F6E"/>
    <w:pPr>
      <w:pBdr>
        <w:bottom w:val="dotted" w:sz="6" w:space="1" w:color="B71E42" w:themeColor="accent1"/>
      </w:pBdr>
      <w:spacing w:before="200" w:after="0"/>
      <w:outlineLvl w:val="5"/>
    </w:pPr>
    <w:rPr>
      <w:caps/>
      <w:color w:val="881631" w:themeColor="accent1" w:themeShade="BF"/>
      <w:spacing w:val="10"/>
    </w:rPr>
  </w:style>
  <w:style w:type="paragraph" w:styleId="Heading7">
    <w:name w:val="heading 7"/>
    <w:basedOn w:val="Normal"/>
    <w:next w:val="Normal"/>
    <w:link w:val="Heading7Char"/>
    <w:uiPriority w:val="9"/>
    <w:semiHidden/>
    <w:unhideWhenUsed/>
    <w:qFormat/>
    <w:rsid w:val="008E0F6E"/>
    <w:pPr>
      <w:spacing w:before="200" w:after="0"/>
      <w:outlineLvl w:val="6"/>
    </w:pPr>
    <w:rPr>
      <w:caps/>
      <w:color w:val="881631" w:themeColor="accent1" w:themeShade="BF"/>
      <w:spacing w:val="10"/>
    </w:rPr>
  </w:style>
  <w:style w:type="paragraph" w:styleId="Heading8">
    <w:name w:val="heading 8"/>
    <w:basedOn w:val="Normal"/>
    <w:next w:val="Normal"/>
    <w:link w:val="Heading8Char"/>
    <w:uiPriority w:val="9"/>
    <w:semiHidden/>
    <w:unhideWhenUsed/>
    <w:qFormat/>
    <w:rsid w:val="008E0F6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E0F6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0F6E"/>
    <w:pPr>
      <w:spacing w:before="0" w:after="0"/>
    </w:pPr>
    <w:rPr>
      <w:rFonts w:asciiTheme="majorHAnsi" w:eastAsiaTheme="majorEastAsia" w:hAnsiTheme="majorHAnsi" w:cstheme="majorBidi"/>
      <w:caps/>
      <w:color w:val="B71E42" w:themeColor="accent1"/>
      <w:spacing w:val="10"/>
      <w:sz w:val="52"/>
      <w:szCs w:val="52"/>
    </w:rPr>
  </w:style>
  <w:style w:type="character" w:customStyle="1" w:styleId="TitleChar">
    <w:name w:val="Title Char"/>
    <w:basedOn w:val="DefaultParagraphFont"/>
    <w:link w:val="Title"/>
    <w:uiPriority w:val="10"/>
    <w:rsid w:val="008E0F6E"/>
    <w:rPr>
      <w:rFonts w:asciiTheme="majorHAnsi" w:eastAsiaTheme="majorEastAsia" w:hAnsiTheme="majorHAnsi" w:cstheme="majorBidi"/>
      <w:caps/>
      <w:color w:val="B71E42" w:themeColor="accent1"/>
      <w:spacing w:val="10"/>
      <w:sz w:val="52"/>
      <w:szCs w:val="52"/>
    </w:rPr>
  </w:style>
  <w:style w:type="character" w:customStyle="1" w:styleId="Heading1Char">
    <w:name w:val="Heading 1 Char"/>
    <w:basedOn w:val="DefaultParagraphFont"/>
    <w:link w:val="Heading1"/>
    <w:uiPriority w:val="9"/>
    <w:rsid w:val="008E0F6E"/>
    <w:rPr>
      <w:caps/>
      <w:color w:val="FFFFFF" w:themeColor="background1"/>
      <w:spacing w:val="15"/>
      <w:sz w:val="22"/>
      <w:szCs w:val="22"/>
      <w:shd w:val="clear" w:color="auto" w:fill="B71E42" w:themeFill="accent1"/>
    </w:rPr>
  </w:style>
  <w:style w:type="character" w:customStyle="1" w:styleId="Heading2Char">
    <w:name w:val="Heading 2 Char"/>
    <w:basedOn w:val="DefaultParagraphFont"/>
    <w:link w:val="Heading2"/>
    <w:uiPriority w:val="9"/>
    <w:rsid w:val="008E0F6E"/>
    <w:rPr>
      <w:caps/>
      <w:spacing w:val="15"/>
      <w:shd w:val="clear" w:color="auto" w:fill="F6CBD5" w:themeFill="accent1" w:themeFillTint="33"/>
    </w:rPr>
  </w:style>
  <w:style w:type="character" w:customStyle="1" w:styleId="Heading3Char">
    <w:name w:val="Heading 3 Char"/>
    <w:basedOn w:val="DefaultParagraphFont"/>
    <w:link w:val="Heading3"/>
    <w:uiPriority w:val="9"/>
    <w:semiHidden/>
    <w:rsid w:val="008E0F6E"/>
    <w:rPr>
      <w:caps/>
      <w:color w:val="5B0F20" w:themeColor="accent1" w:themeShade="7F"/>
      <w:spacing w:val="15"/>
    </w:rPr>
  </w:style>
  <w:style w:type="character" w:customStyle="1" w:styleId="Heading4Char">
    <w:name w:val="Heading 4 Char"/>
    <w:basedOn w:val="DefaultParagraphFont"/>
    <w:link w:val="Heading4"/>
    <w:uiPriority w:val="9"/>
    <w:semiHidden/>
    <w:rsid w:val="008E0F6E"/>
    <w:rPr>
      <w:caps/>
      <w:color w:val="881631" w:themeColor="accent1" w:themeShade="BF"/>
      <w:spacing w:val="10"/>
    </w:rPr>
  </w:style>
  <w:style w:type="character" w:customStyle="1" w:styleId="Heading5Char">
    <w:name w:val="Heading 5 Char"/>
    <w:basedOn w:val="DefaultParagraphFont"/>
    <w:link w:val="Heading5"/>
    <w:uiPriority w:val="9"/>
    <w:semiHidden/>
    <w:rsid w:val="008E0F6E"/>
    <w:rPr>
      <w:caps/>
      <w:color w:val="881631" w:themeColor="accent1" w:themeShade="BF"/>
      <w:spacing w:val="10"/>
    </w:rPr>
  </w:style>
  <w:style w:type="character" w:customStyle="1" w:styleId="Heading6Char">
    <w:name w:val="Heading 6 Char"/>
    <w:basedOn w:val="DefaultParagraphFont"/>
    <w:link w:val="Heading6"/>
    <w:uiPriority w:val="9"/>
    <w:semiHidden/>
    <w:rsid w:val="008E0F6E"/>
    <w:rPr>
      <w:caps/>
      <w:color w:val="881631" w:themeColor="accent1" w:themeShade="BF"/>
      <w:spacing w:val="10"/>
    </w:rPr>
  </w:style>
  <w:style w:type="character" w:customStyle="1" w:styleId="Heading7Char">
    <w:name w:val="Heading 7 Char"/>
    <w:basedOn w:val="DefaultParagraphFont"/>
    <w:link w:val="Heading7"/>
    <w:uiPriority w:val="9"/>
    <w:semiHidden/>
    <w:rsid w:val="008E0F6E"/>
    <w:rPr>
      <w:caps/>
      <w:color w:val="881631" w:themeColor="accent1" w:themeShade="BF"/>
      <w:spacing w:val="10"/>
    </w:rPr>
  </w:style>
  <w:style w:type="character" w:customStyle="1" w:styleId="Heading8Char">
    <w:name w:val="Heading 8 Char"/>
    <w:basedOn w:val="DefaultParagraphFont"/>
    <w:link w:val="Heading8"/>
    <w:uiPriority w:val="9"/>
    <w:semiHidden/>
    <w:rsid w:val="008E0F6E"/>
    <w:rPr>
      <w:caps/>
      <w:spacing w:val="10"/>
      <w:sz w:val="18"/>
      <w:szCs w:val="18"/>
    </w:rPr>
  </w:style>
  <w:style w:type="character" w:customStyle="1" w:styleId="Heading9Char">
    <w:name w:val="Heading 9 Char"/>
    <w:basedOn w:val="DefaultParagraphFont"/>
    <w:link w:val="Heading9"/>
    <w:uiPriority w:val="9"/>
    <w:semiHidden/>
    <w:rsid w:val="008E0F6E"/>
    <w:rPr>
      <w:i/>
      <w:iCs/>
      <w:caps/>
      <w:spacing w:val="10"/>
      <w:sz w:val="18"/>
      <w:szCs w:val="18"/>
    </w:rPr>
  </w:style>
  <w:style w:type="paragraph" w:styleId="Caption">
    <w:name w:val="caption"/>
    <w:basedOn w:val="Normal"/>
    <w:next w:val="Normal"/>
    <w:uiPriority w:val="35"/>
    <w:semiHidden/>
    <w:unhideWhenUsed/>
    <w:qFormat/>
    <w:rsid w:val="008E0F6E"/>
    <w:rPr>
      <w:b/>
      <w:bCs/>
      <w:color w:val="881631" w:themeColor="accent1" w:themeShade="BF"/>
      <w:sz w:val="16"/>
      <w:szCs w:val="16"/>
    </w:rPr>
  </w:style>
  <w:style w:type="paragraph" w:styleId="Subtitle">
    <w:name w:val="Subtitle"/>
    <w:basedOn w:val="Normal"/>
    <w:next w:val="Normal"/>
    <w:link w:val="SubtitleChar"/>
    <w:uiPriority w:val="11"/>
    <w:qFormat/>
    <w:rsid w:val="008E0F6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E0F6E"/>
    <w:rPr>
      <w:caps/>
      <w:color w:val="595959" w:themeColor="text1" w:themeTint="A6"/>
      <w:spacing w:val="10"/>
      <w:sz w:val="21"/>
      <w:szCs w:val="21"/>
    </w:rPr>
  </w:style>
  <w:style w:type="character" w:styleId="Strong">
    <w:name w:val="Strong"/>
    <w:uiPriority w:val="22"/>
    <w:qFormat/>
    <w:rsid w:val="008E0F6E"/>
    <w:rPr>
      <w:b/>
      <w:bCs/>
    </w:rPr>
  </w:style>
  <w:style w:type="character" w:styleId="Emphasis">
    <w:name w:val="Emphasis"/>
    <w:uiPriority w:val="20"/>
    <w:qFormat/>
    <w:rsid w:val="008E0F6E"/>
    <w:rPr>
      <w:caps/>
      <w:color w:val="5B0F20" w:themeColor="accent1" w:themeShade="7F"/>
      <w:spacing w:val="5"/>
    </w:rPr>
  </w:style>
  <w:style w:type="paragraph" w:styleId="NoSpacing">
    <w:name w:val="No Spacing"/>
    <w:uiPriority w:val="1"/>
    <w:qFormat/>
    <w:rsid w:val="008E0F6E"/>
    <w:pPr>
      <w:spacing w:after="0" w:line="240" w:lineRule="auto"/>
    </w:pPr>
  </w:style>
  <w:style w:type="paragraph" w:styleId="Quote">
    <w:name w:val="Quote"/>
    <w:basedOn w:val="Normal"/>
    <w:next w:val="Normal"/>
    <w:link w:val="QuoteChar"/>
    <w:uiPriority w:val="29"/>
    <w:qFormat/>
    <w:rsid w:val="008E0F6E"/>
    <w:rPr>
      <w:i/>
      <w:iCs/>
      <w:sz w:val="24"/>
      <w:szCs w:val="24"/>
    </w:rPr>
  </w:style>
  <w:style w:type="character" w:customStyle="1" w:styleId="QuoteChar">
    <w:name w:val="Quote Char"/>
    <w:basedOn w:val="DefaultParagraphFont"/>
    <w:link w:val="Quote"/>
    <w:uiPriority w:val="29"/>
    <w:rsid w:val="008E0F6E"/>
    <w:rPr>
      <w:i/>
      <w:iCs/>
      <w:sz w:val="24"/>
      <w:szCs w:val="24"/>
    </w:rPr>
  </w:style>
  <w:style w:type="paragraph" w:styleId="IntenseQuote">
    <w:name w:val="Intense Quote"/>
    <w:basedOn w:val="Normal"/>
    <w:next w:val="Normal"/>
    <w:link w:val="IntenseQuoteChar"/>
    <w:uiPriority w:val="30"/>
    <w:qFormat/>
    <w:rsid w:val="008E0F6E"/>
    <w:pPr>
      <w:spacing w:before="240" w:after="240" w:line="240" w:lineRule="auto"/>
      <w:ind w:left="1080" w:right="1080"/>
      <w:jc w:val="center"/>
    </w:pPr>
    <w:rPr>
      <w:color w:val="B71E42" w:themeColor="accent1"/>
      <w:sz w:val="24"/>
      <w:szCs w:val="24"/>
    </w:rPr>
  </w:style>
  <w:style w:type="character" w:customStyle="1" w:styleId="IntenseQuoteChar">
    <w:name w:val="Intense Quote Char"/>
    <w:basedOn w:val="DefaultParagraphFont"/>
    <w:link w:val="IntenseQuote"/>
    <w:uiPriority w:val="30"/>
    <w:rsid w:val="008E0F6E"/>
    <w:rPr>
      <w:color w:val="B71E42" w:themeColor="accent1"/>
      <w:sz w:val="24"/>
      <w:szCs w:val="24"/>
    </w:rPr>
  </w:style>
  <w:style w:type="character" w:styleId="SubtleEmphasis">
    <w:name w:val="Subtle Emphasis"/>
    <w:uiPriority w:val="19"/>
    <w:qFormat/>
    <w:rsid w:val="008E0F6E"/>
    <w:rPr>
      <w:i/>
      <w:iCs/>
      <w:color w:val="5B0F20" w:themeColor="accent1" w:themeShade="7F"/>
    </w:rPr>
  </w:style>
  <w:style w:type="character" w:styleId="IntenseEmphasis">
    <w:name w:val="Intense Emphasis"/>
    <w:uiPriority w:val="21"/>
    <w:qFormat/>
    <w:rsid w:val="008E0F6E"/>
    <w:rPr>
      <w:b/>
      <w:bCs/>
      <w:caps/>
      <w:color w:val="5B0F20" w:themeColor="accent1" w:themeShade="7F"/>
      <w:spacing w:val="10"/>
    </w:rPr>
  </w:style>
  <w:style w:type="character" w:styleId="SubtleReference">
    <w:name w:val="Subtle Reference"/>
    <w:uiPriority w:val="31"/>
    <w:qFormat/>
    <w:rsid w:val="008E0F6E"/>
    <w:rPr>
      <w:b/>
      <w:bCs/>
      <w:color w:val="B71E42" w:themeColor="accent1"/>
    </w:rPr>
  </w:style>
  <w:style w:type="character" w:styleId="IntenseReference">
    <w:name w:val="Intense Reference"/>
    <w:uiPriority w:val="32"/>
    <w:qFormat/>
    <w:rsid w:val="008E0F6E"/>
    <w:rPr>
      <w:b/>
      <w:bCs/>
      <w:i/>
      <w:iCs/>
      <w:caps/>
      <w:color w:val="B71E42" w:themeColor="accent1"/>
    </w:rPr>
  </w:style>
  <w:style w:type="character" w:styleId="BookTitle">
    <w:name w:val="Book Title"/>
    <w:uiPriority w:val="33"/>
    <w:qFormat/>
    <w:rsid w:val="008E0F6E"/>
    <w:rPr>
      <w:b/>
      <w:bCs/>
      <w:i/>
      <w:iCs/>
      <w:spacing w:val="0"/>
    </w:rPr>
  </w:style>
  <w:style w:type="paragraph" w:styleId="TOCHeading">
    <w:name w:val="TOC Heading"/>
    <w:basedOn w:val="Heading1"/>
    <w:next w:val="Normal"/>
    <w:uiPriority w:val="39"/>
    <w:semiHidden/>
    <w:unhideWhenUsed/>
    <w:qFormat/>
    <w:rsid w:val="008E0F6E"/>
    <w:pPr>
      <w:outlineLvl w:val="9"/>
    </w:pPr>
  </w:style>
  <w:style w:type="paragraph" w:styleId="ListParagraph">
    <w:name w:val="List Paragraph"/>
    <w:basedOn w:val="Normal"/>
    <w:uiPriority w:val="34"/>
    <w:qFormat/>
    <w:rsid w:val="00E878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90ADC-ED05-4D8F-8EC3-98B033E51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9</Pages>
  <Words>2701</Words>
  <Characters>15399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Durnin</dc:creator>
  <cp:keywords/>
  <dc:description/>
  <cp:lastModifiedBy>Esther Durnin</cp:lastModifiedBy>
  <cp:revision>4</cp:revision>
  <dcterms:created xsi:type="dcterms:W3CDTF">2021-10-06T19:15:00Z</dcterms:created>
  <dcterms:modified xsi:type="dcterms:W3CDTF">2021-10-20T15:56:00Z</dcterms:modified>
</cp:coreProperties>
</file>